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rial" w:hAnsi="Arial"/>
          <w:b/>
          <w:color w:val="0284C7"/>
          <w:sz w:val="18"/>
        </w:rPr>
        <w:t>REPÚBLICA DE EL SALVADOR • SISTEMA C4I DE SEGURIDAD PÚBLICA</w:t>
      </w:r>
    </w:p>
    <w:p>
      <w:pPr>
        <w:spacing w:after="80"/>
      </w:pPr>
      <w:r>
        <w:rPr>
          <w:rFonts w:ascii="Arial" w:hAnsi="Arial"/>
          <w:b/>
          <w:color w:val="0A1B39"/>
          <w:sz w:val="44"/>
        </w:rPr>
        <w:t>DOCUMENTO DE ARQUITECTURA DE SOFTWARE (SAD)</w:t>
      </w:r>
    </w:p>
    <w:p>
      <w:pPr>
        <w:spacing w:after="280"/>
      </w:pPr>
      <w:r>
        <w:rPr>
          <w:rFonts w:ascii="Arial" w:hAnsi="Arial"/>
          <w:color w:val="475569"/>
          <w:sz w:val="24"/>
        </w:rPr>
        <w:t>Modelo de Vistas 4+1 • Infraestructura C4I de Alta Disponibilidad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Código de Documento</w:t>
            </w:r>
          </w:p>
        </w:tc>
        <w:tc>
          <w:tcPr>
            <w:tcW w:type="dxa" w:w="2340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Versión</w:t>
            </w:r>
          </w:p>
        </w:tc>
        <w:tc>
          <w:tcPr>
            <w:tcW w:type="dxa" w:w="2340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Fecha de Emisión</w:t>
            </w:r>
          </w:p>
        </w:tc>
        <w:tc>
          <w:tcPr>
            <w:tcW w:type="dxa" w:w="2340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Clasificación</w:t>
            </w:r>
          </w:p>
        </w:tc>
      </w:tr>
      <w:tr>
        <w:tc>
          <w:tcPr>
            <w:tcW w:type="dxa" w:w="234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8"/>
              </w:rPr>
              <w:t>SAD-LOCSV-ARCH-4P1</w:t>
            </w:r>
          </w:p>
        </w:tc>
        <w:tc>
          <w:tcPr>
            <w:tcW w:type="dxa" w:w="234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8"/>
              </w:rPr>
              <w:t>v2.5.0</w:t>
            </w:r>
          </w:p>
        </w:tc>
        <w:tc>
          <w:tcPr>
            <w:tcW w:type="dxa" w:w="234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8"/>
              </w:rPr>
              <w:t>Octubre 2026</w:t>
            </w:r>
          </w:p>
        </w:tc>
        <w:tc>
          <w:tcPr>
            <w:tcW w:type="dxa" w:w="234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8"/>
              </w:rPr>
              <w:t>Oficial / Técnico</w:t>
            </w:r>
          </w:p>
        </w:tc>
      </w:tr>
    </w:tbl>
    <w:p>
      <w:pPr>
        <w:spacing w:after="320"/>
      </w:pPr>
    </w:p>
    <w:p>
      <w:pPr>
        <w:keepNext/>
        <w:spacing w:before="360" w:after="120"/>
      </w:pPr>
      <w:r>
        <w:rPr>
          <w:rFonts w:ascii="Arial" w:hAnsi="Arial"/>
          <w:b/>
          <w:color w:val="0A1B39"/>
          <w:sz w:val="30"/>
        </w:rPr>
        <w:t>1. INTRODUCCIÓN Y METODOLOGÍA ARQUITECTÓNICA</w:t>
      </w:r>
    </w:p>
    <w:p>
      <w:pPr>
        <w:spacing w:after="120" w:line="276" w:lineRule="auto"/>
      </w:pPr>
      <w:r>
        <w:rPr>
          <w:rFonts w:ascii="Arial" w:hAnsi="Arial"/>
          <w:color w:val="1E293B"/>
          <w:sz w:val="20"/>
        </w:rPr>
        <w:t>El presente Documento de Arquitectura de Software describe la estructura técnica, componentes, patrones de diseño y mecanismos de comunicación de la plataforma LocalizaSV. Se adopta el modelo de vistas 4+1 de Philippe Kruchten para representar de manera integral las dimensiones lógica, de desarrollo, de procesos, física y de casos de uso.</w:t>
      </w:r>
    </w:p>
    <w:p>
      <w:pPr>
        <w:keepNext/>
        <w:spacing w:before="360" w:after="120"/>
      </w:pPr>
      <w:r>
        <w:rPr>
          <w:rFonts w:ascii="Arial" w:hAnsi="Arial"/>
          <w:b/>
          <w:color w:val="0A1B39"/>
          <w:sz w:val="30"/>
        </w:rPr>
        <w:t>2. ARQUITECTURA DE CAPAS Y MODELO CONCEPTUAL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2125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arquitectura_capas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12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hAnsi="Arial"/>
          <w:i/>
          <w:color w:val="475569"/>
          <w:sz w:val="17"/>
        </w:rPr>
        <w:t>Figura 1: Arquitectura de 4 Capas de la Plataforma LocalizaSV C4I</w:t>
      </w:r>
    </w:p>
    <w:p>
      <w:pPr>
        <w:keepNext/>
        <w:spacing w:before="280" w:after="80"/>
      </w:pPr>
      <w:r>
        <w:rPr>
          <w:rFonts w:ascii="Arial" w:hAnsi="Arial"/>
          <w:b/>
          <w:color w:val="0284C7"/>
          <w:sz w:val="25"/>
        </w:rPr>
        <w:t>2.1 Capa de Presentación (Frontend)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1E293B"/>
          <w:sz w:val="20"/>
        </w:rPr>
        <w:t>Tecnología:</w:t>
      </w:r>
      <w:r>
        <w:rPr>
          <w:rFonts w:ascii="Arial" w:hAnsi="Arial"/>
          <w:color w:val="1E293B"/>
          <w:sz w:val="20"/>
        </w:rPr>
        <w:t>SPA moderna basada en React 18 y Vite con tiempos de recarga HMR inferiores a 50 ms.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1E293B"/>
          <w:sz w:val="20"/>
        </w:rPr>
        <w:t>Diseño:</w:t>
      </w:r>
      <w:r>
        <w:rPr>
          <w:rFonts w:ascii="Arial" w:hAnsi="Arial"/>
          <w:color w:val="1E293B"/>
          <w:sz w:val="20"/>
        </w:rPr>
        <w:t>Implementación rigurosa de la Técnica CUA (Claro, Único y Atractivo) con estética GovTech C4I.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1E293B"/>
          <w:sz w:val="20"/>
        </w:rPr>
        <w:t>GIS Táctico:</w:t>
      </w:r>
      <w:r>
        <w:rPr>
          <w:rFonts w:ascii="Arial" w:hAnsi="Arial"/>
          <w:color w:val="1E293B"/>
          <w:sz w:val="20"/>
        </w:rPr>
        <w:t>React-Leaflet, Leaflet.heat (mapa de calor) y Leaflet.markercluster para visualización cartográfica táctica.</w:t>
      </w:r>
    </w:p>
    <w:p>
      <w:pPr>
        <w:keepNext/>
        <w:spacing w:before="280" w:after="80"/>
      </w:pPr>
      <w:r>
        <w:rPr>
          <w:rFonts w:ascii="Arial" w:hAnsi="Arial"/>
          <w:b/>
          <w:color w:val="0284C7"/>
          <w:sz w:val="25"/>
        </w:rPr>
        <w:t>2.2 Capa de Negocio y Comunicación (Backend)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1E293B"/>
          <w:sz w:val="20"/>
        </w:rPr>
        <w:t>Servidor de Aplicación:</w:t>
      </w:r>
      <w:r>
        <w:rPr>
          <w:rFonts w:ascii="Arial" w:hAnsi="Arial"/>
          <w:color w:val="1E293B"/>
          <w:sz w:val="20"/>
        </w:rPr>
        <w:t>API RESTful construida sobre Node.js y Express con arquitectura modular de rutas, controladores y middlewares.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1E293B"/>
          <w:sz w:val="20"/>
        </w:rPr>
        <w:t>Eventos en Tiempo Real:</w:t>
      </w:r>
      <w:r>
        <w:rPr>
          <w:rFonts w:ascii="Arial" w:hAnsi="Arial"/>
          <w:color w:val="1E293B"/>
          <w:sz w:val="20"/>
        </w:rPr>
        <w:t>Canal bidireccional WebSockets (Socket.io) para despacho instantáneo de Código Rojo y telemetría de patrullas.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1E293B"/>
          <w:sz w:val="20"/>
        </w:rPr>
        <w:t>Ruteo de Intercepción:</w:t>
      </w:r>
      <w:r>
        <w:rPr>
          <w:rFonts w:ascii="Arial" w:hAnsi="Arial"/>
          <w:color w:val="1E293B"/>
          <w:sz w:val="20"/>
        </w:rPr>
        <w:t>Algoritmo de cálculo de ruta geodésica con estimación de velocidad promedio de emergencia (sirena policial) y generación de deep links para Google Maps y Waze.</w:t>
      </w:r>
    </w:p>
    <w:p>
      <w:pPr>
        <w:keepNext/>
        <w:spacing w:before="280" w:after="80"/>
      </w:pPr>
      <w:r>
        <w:rPr>
          <w:rFonts w:ascii="Arial" w:hAnsi="Arial"/>
          <w:b/>
          <w:color w:val="0284C7"/>
          <w:sz w:val="25"/>
        </w:rPr>
        <w:t>2.3 Capa de Inteligencia Artificial Forense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1E293B"/>
          <w:sz w:val="20"/>
        </w:rPr>
        <w:t>Transmisión de Video:</w:t>
      </w:r>
      <w:r>
        <w:rPr>
          <w:rFonts w:ascii="Arial" w:hAnsi="Arial"/>
          <w:color w:val="1E293B"/>
          <w:sz w:val="20"/>
        </w:rPr>
        <w:t>Tubería Zero-Copy de alta velocidad que evita copias redundantes en memoria RAM durante el análisis de video CCTV.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1E293B"/>
          <w:sz w:val="20"/>
        </w:rPr>
        <w:t>Detección Facial:</w:t>
      </w:r>
      <w:r>
        <w:rPr>
          <w:rFonts w:ascii="Arial" w:hAnsi="Arial"/>
          <w:color w:val="1E293B"/>
          <w:sz w:val="20"/>
        </w:rPr>
        <w:t>Modelo YuNet de detección facial que extrae 68 coordenadas faciales en 12 ms por fotograma.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1E293B"/>
          <w:sz w:val="20"/>
        </w:rPr>
        <w:t>Extracción y Cotejo:</w:t>
      </w:r>
      <w:r>
        <w:rPr>
          <w:rFonts w:ascii="Arial" w:hAnsi="Arial"/>
          <w:color w:val="1E293B"/>
          <w:sz w:val="20"/>
        </w:rPr>
        <w:t>Modelo ArcFace que proyecta los rostros a un espacio euclidiano de 512 dimensiones y computa la similitud coseno contra la base de personas desaparecidas.</w:t>
      </w:r>
    </w:p>
    <w:p>
      <w:pPr>
        <w:keepNext/>
        <w:spacing w:before="280" w:after="80"/>
      </w:pPr>
      <w:r>
        <w:rPr>
          <w:rFonts w:ascii="Arial" w:hAnsi="Arial"/>
          <w:b/>
          <w:color w:val="0284C7"/>
          <w:sz w:val="25"/>
        </w:rPr>
        <w:t>2.4 Capa de Persistencia y Seguridad Criptográfica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1E293B"/>
          <w:sz w:val="20"/>
        </w:rPr>
        <w:t>Base de Datos:</w:t>
      </w:r>
      <w:r>
        <w:rPr>
          <w:rFonts w:ascii="Arial" w:hAnsi="Arial"/>
          <w:color w:val="1E293B"/>
          <w:sz w:val="20"/>
        </w:rPr>
        <w:t>Esquema relacional en PostgreSQL / MockDB con soporte para transacciones ACID e índices geográficos.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1E293B"/>
          <w:sz w:val="20"/>
        </w:rPr>
        <w:t>Cadena de Custodia:</w:t>
      </w:r>
      <w:r>
        <w:rPr>
          <w:rFonts w:ascii="Arial" w:hAnsi="Arial"/>
          <w:color w:val="1E293B"/>
          <w:sz w:val="20"/>
        </w:rPr>
        <w:t>Generación de hashes SHA-256 para sellar actas de intervención policial y fotografías de evidencia.</w:t>
      </w:r>
    </w:p>
    <w:p>
      <w:pPr>
        <w:keepNext/>
        <w:spacing w:before="360" w:after="120"/>
      </w:pPr>
      <w:r>
        <w:rPr>
          <w:rFonts w:ascii="Arial" w:hAnsi="Arial"/>
          <w:b/>
          <w:color w:val="0A1B39"/>
          <w:sz w:val="30"/>
        </w:rPr>
        <w:t>3. DIAGRAMA DE DESPLIEGUE Y TOPOLOGÍA DE RED</w:t>
      </w:r>
    </w:p>
    <w:p>
      <w:pPr>
        <w:spacing w:after="120" w:line="276" w:lineRule="auto"/>
      </w:pPr>
      <w:r>
        <w:rPr>
          <w:rFonts w:ascii="Arial" w:hAnsi="Arial"/>
          <w:color w:val="1E293B"/>
          <w:sz w:val="20"/>
        </w:rPr>
        <w:t>La infraestructura está diseñada para operar tanto en centro de datos gubernamental como en nodos perimetrales (Edge Computing) en delegaciones policiales: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Nodo / Componente</w:t>
            </w:r>
          </w:p>
        </w:tc>
        <w:tc>
          <w:tcPr>
            <w:tcW w:type="dxa" w:w="234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Tecnología</w:t>
            </w:r>
          </w:p>
        </w:tc>
        <w:tc>
          <w:tcPr>
            <w:tcW w:type="dxa" w:w="234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Ubicación / Red</w:t>
            </w:r>
          </w:p>
        </w:tc>
        <w:tc>
          <w:tcPr>
            <w:tcW w:type="dxa" w:w="234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Función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Gateway C4I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Nginx / Reverse Proxy SSL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DMZ Perimetral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Balanceo y terminación TLS 1.3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Backend API Server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Node.js v20 LTS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Red Interna Segura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Lógica de negocio, autenticación y despacho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AI Inference Worker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Python / OpenCV ONNX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Cluster GPU Forense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Procesamiento de streams y biometría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Database Primary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PostgreSQL 15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Red de Datos Aislada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Persistencia de expedientes, alertas y usuarios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Police Mobile Units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PWA / Tablets PNC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Red Celular LTE Encriptada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Recepción de rutas y transmisión de GPS</w:t>
            </w:r>
          </w:p>
        </w:tc>
      </w:tr>
    </w:tbl>
    <w:p>
      <w:pPr>
        <w:spacing w:after="16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both"/>
    </w:pPr>
    <w:r>
      <w:rPr>
        <w:rFonts w:ascii="Arial" w:hAnsi="Arial"/>
        <w:color w:val="475569"/>
        <w:sz w:val="16"/>
      </w:rPr>
      <w:t>CONFIDENCIAL • SISTEMA NACIONAL DE BÚSQUEDA FORENSE SOLIDARIA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475569"/>
        <w:sz w:val="17"/>
      </w:rPr>
      <w:t>LOCALIZASV — C4I EL SALVADOR | SAD-LOCSV-ARCH-4P1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