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SEGURIDAD CRIPTOGRÁFICA Y CADENA DE CUSTODIA FORENSE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Sellado Inmutable SHA-256 • Protección de Datos contra Extorsión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SEC-LOCSV-CRYPTO-SHA256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ARQUITECTURA DE SEGURIDAD DEFENSIVA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La plataforma LocalizaSV implementa los más rigurosos estándares de seguridad de la información, alineados con ISO/IEC 27001 y las normativas de protección de datos personales: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1.1 Protección de Datos del Reportante (Blindaje Anti-Extorsión)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Históricamente en El Salvador, las familias de personas desaparecidas han sido víctimas de llamadas extorsivas por parte de estructuras criminales que exigen dinero a cambio de supuesta información falsa. LocalizaSV elimina esta vulnerabilidad: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Principio de Ocultamiento:</w:t>
      </w:r>
      <w:r>
        <w:rPr>
          <w:rFonts w:ascii="Arial" w:hAnsi="Arial"/>
          <w:color w:val="1E293B"/>
          <w:sz w:val="20"/>
        </w:rPr>
        <w:t>El teléfono y correo del familiar NUNCA se exponen en las fichas públicas ni en las APIs accesibles por ciudadanos.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Acceso Reivindicado:</w:t>
      </w:r>
      <w:r>
        <w:rPr>
          <w:rFonts w:ascii="Arial" w:hAnsi="Arial"/>
          <w:color w:val="1E293B"/>
          <w:sz w:val="20"/>
        </w:rPr>
        <w:t>Los datos se cifran con AES-256 en base de datos y solo se desencriptan en el panel autenticado de la PNC cuando se confirma un avistamiento positivo.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1.2 Cadena de Custodia Digital con Sellado SHA-256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Toda evidencia fotográfica y acta de intervención policial es procesada criptográficamente mediante el algoritmo de hash seguro SHA-256 (FIPS PUB 180-4):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1. Cálculo de Huella Digital:</w:t>
      </w:r>
      <w:r>
        <w:rPr>
          <w:rFonts w:ascii="Arial" w:hAnsi="Arial"/>
          <w:color w:val="1E293B"/>
          <w:sz w:val="20"/>
        </w:rPr>
        <w:t>Al recibir una pre-alerta de cámara o generar un acta de localización, el sistema calcula el digest SHA-256 del archivo binario y metadatos asociados.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2. Sellado Temporal:</w:t>
      </w:r>
      <w:r>
        <w:rPr>
          <w:rFonts w:ascii="Arial" w:hAnsi="Arial"/>
          <w:color w:val="1E293B"/>
          <w:sz w:val="20"/>
        </w:rPr>
        <w:t>El hash resultante (64 caracteres hexadecimales) se almacena en el registro inmutable junto al sello de tiempo UTC y las credenciales del oficial interviniente.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3. Verificación Forense:</w:t>
      </w:r>
      <w:r>
        <w:rPr>
          <w:rFonts w:ascii="Arial" w:hAnsi="Arial"/>
          <w:color w:val="1E293B"/>
          <w:sz w:val="20"/>
        </w:rPr>
        <w:t>El acta puede ser impresa o exportada como Certificado Oficial de Custodia Digital, el cual cuenta con un código QR que permite a jueces y fiscales verificar que el archivo no fue manipulado ni alterado.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SEC-LOCSV-CRYPTO-SHA256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