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INFORME TÉCNICO – PROYECTO PP1</w:t>
        <w:br w:type="textWrapping"/>
        <w:t xml:space="preserve">Tecnicatura en Ciencia de Datos e Inteligencia Artificial</w:t>
      </w:r>
    </w:p>
    <w:p w:rsidR="00000000" w:rsidDel="00000000" w:rsidP="00000000" w:rsidRDefault="00000000" w:rsidRPr="00000000" w14:paraId="00000002">
      <w:pPr>
        <w:spacing w:after="240" w:before="240" w:lineRule="auto"/>
        <w:rPr>
          <w:color w:val="0000ff"/>
          <w:sz w:val="24"/>
          <w:szCs w:val="24"/>
        </w:rPr>
      </w:pPr>
      <w:r w:rsidDel="00000000" w:rsidR="00000000" w:rsidRPr="00000000">
        <w:rPr>
          <w:b w:val="1"/>
          <w:bCs w:val="1"/>
          <w:color w:val="0000ff"/>
          <w:sz w:val="24"/>
          <w:szCs w:val="24"/>
          <w:rtl w:val="0"/>
        </w:rPr>
        <w:t xml:space="preserve">“Inteligencia de Datos para la Reconfiguración Industrial Argentina”</w:t>
      </w:r>
      <w:r w:rsidDel="00000000" w:rsidR="00000000" w:rsidRPr="00000000">
        <w:rPr>
          <w:rtl w:val="0"/>
        </w:rPr>
      </w:r>
    </w:p>
    <w:p w:rsidR="00000000" w:rsidDel="00000000" w:rsidP="00000000" w:rsidRDefault="00000000" w:rsidRPr="00000000" w14:paraId="00000003">
      <w:pPr>
        <w:spacing w:after="240" w:before="240" w:lineRule="auto"/>
        <w:rPr>
          <w:b w:val="1"/>
          <w:bCs w:val="1"/>
          <w:sz w:val="28"/>
          <w:szCs w:val="28"/>
        </w:rPr>
      </w:pPr>
      <w:r w:rsidDel="00000000" w:rsidR="00000000" w:rsidRPr="00000000">
        <w:rPr>
          <w:b w:val="1"/>
          <w:bCs w:val="1"/>
          <w:sz w:val="24"/>
          <w:szCs w:val="24"/>
          <w:rtl w:val="0"/>
        </w:rPr>
        <w:t xml:space="preserve">EQUIPO 3- INDUSTRIA PP1 1C 2026</w:t>
      </w:r>
      <w:r w:rsidDel="00000000" w:rsidR="00000000" w:rsidRPr="00000000">
        <w:rPr>
          <w:b w:val="1"/>
          <w:bCs w:val="1"/>
          <w:rtl w:val="0"/>
        </w:rPr>
        <w:br w:type="textWrapping"/>
      </w:r>
      <w:r w:rsidDel="00000000" w:rsidR="00000000" w:rsidRPr="00000000">
        <w:rPr>
          <w:b w:val="1"/>
          <w:bCs w:val="1"/>
          <w:sz w:val="24"/>
          <w:szCs w:val="24"/>
          <w:rtl w:val="0"/>
        </w:rPr>
        <w:t xml:space="preserve">INTEGRANTES: </w:t>
      </w:r>
      <w:r w:rsidDel="00000000" w:rsidR="00000000" w:rsidRPr="00000000">
        <w:rPr>
          <w:sz w:val="26"/>
          <w:szCs w:val="26"/>
          <w:rtl w:val="0"/>
        </w:rPr>
        <w:t xml:space="preserve">Bacchiani Gabriela, Frías Monica, Gaitán Ivan Darío, Iñigo Liliana, Roa Tomás</w:t>
      </w:r>
      <w:r w:rsidDel="00000000" w:rsidR="00000000" w:rsidRPr="00000000">
        <w:rPr>
          <w:rtl w:val="0"/>
        </w:rPr>
      </w:r>
    </w:p>
    <w:p w:rsidR="00000000" w:rsidDel="00000000" w:rsidP="00000000" w:rsidRDefault="00000000" w:rsidRPr="00000000" w14:paraId="00000004">
      <w:pPr>
        <w:numPr>
          <w:ilvl w:val="0"/>
          <w:numId w:val="13"/>
        </w:numPr>
        <w:spacing w:after="240" w:before="240" w:lineRule="auto"/>
        <w:ind w:left="720" w:hanging="360"/>
        <w:rPr>
          <w:b w:val="1"/>
          <w:bCs w:val="1"/>
          <w:sz w:val="24"/>
          <w:szCs w:val="24"/>
        </w:rPr>
      </w:pPr>
      <w:r w:rsidDel="00000000" w:rsidR="00000000" w:rsidRPr="00000000">
        <w:rPr>
          <w:b w:val="1"/>
          <w:bCs w:val="1"/>
          <w:sz w:val="24"/>
          <w:szCs w:val="24"/>
          <w:rtl w:val="0"/>
        </w:rPr>
        <w:t xml:space="preserve">INTRODUCCIÓN</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La industria manufacturera argentina atraviesa una reconfiguración estructural luego de la pandemia, caracterizada por una marcada heterogeneidad en su rendimiento productivo. En este proyecto se analiza: La evolución física y operativa del sector manufacturero argentino cruzando el Índice de Producción Industrial (IPI), la Utilización de la Capacidad Instalada (UCII) y el comportamiento del sector externo a través de las exportaciones. </w:t>
            </w:r>
          </w:p>
        </w:tc>
      </w:tr>
    </w:tbl>
    <w:p w:rsidR="00000000" w:rsidDel="00000000" w:rsidP="00000000" w:rsidRDefault="00000000" w:rsidRPr="00000000" w14:paraId="00000006">
      <w:pPr>
        <w:spacing w:after="240" w:before="240" w:lineRule="auto"/>
        <w:ind w:left="0" w:firstLine="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b w:val="1"/>
                <w:bCs w:val="1"/>
                <w:sz w:val="24"/>
                <w:szCs w:val="24"/>
              </w:rPr>
            </w:pPr>
            <w:r w:rsidDel="00000000" w:rsidR="00000000" w:rsidRPr="00000000">
              <w:rPr>
                <w:b w:val="1"/>
                <w:bCs w:val="1"/>
                <w:sz w:val="24"/>
                <w:szCs w:val="24"/>
                <w:rtl w:val="0"/>
              </w:rPr>
              <w:t xml:space="preserve">El objetivo principal es:</w:t>
            </w:r>
          </w:p>
          <w:p w:rsidR="00000000" w:rsidDel="00000000" w:rsidP="00000000" w:rsidRDefault="00000000" w:rsidRPr="00000000" w14:paraId="00000008">
            <w:pPr>
              <w:numPr>
                <w:ilvl w:val="0"/>
                <w:numId w:val="4"/>
              </w:numPr>
              <w:spacing w:after="240" w:before="240" w:lineRule="auto"/>
              <w:ind w:left="720" w:hanging="360"/>
              <w:rPr>
                <w:sz w:val="24"/>
                <w:szCs w:val="24"/>
                <w:u w:val="none"/>
              </w:rPr>
            </w:pPr>
            <w:r w:rsidDel="00000000" w:rsidR="00000000" w:rsidRPr="00000000">
              <w:rPr>
                <w:sz w:val="24"/>
                <w:szCs w:val="24"/>
                <w:rtl w:val="0"/>
              </w:rPr>
              <w:t xml:space="preserve">Identificar y caracterizar los diferentes perfiles de eficiencia en la industria manufacturera argentina durante el período 2021 - 2026. Estructurar un diagnóstico técnico que agrupe y clasifique a las principales ramas industriales en perfiles de comportamiento homogéneo, detectando asimetrías operativas, limitantes de infraestructura y la resiliencia sectorial en el bloque.</w:t>
            </w:r>
            <w:r w:rsidDel="00000000" w:rsidR="00000000" w:rsidRPr="00000000">
              <w:rPr>
                <w:rtl w:val="0"/>
              </w:rPr>
            </w:r>
          </w:p>
        </w:tc>
      </w:tr>
    </w:tbl>
    <w:p w:rsidR="00000000" w:rsidDel="00000000" w:rsidP="00000000" w:rsidRDefault="00000000" w:rsidRPr="00000000" w14:paraId="00000009">
      <w:pPr>
        <w:spacing w:after="240" w:before="240" w:lineRule="auto"/>
        <w:ind w:left="0" w:firstLine="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La relevancia del análisis radica:</w:t>
            </w:r>
          </w:p>
          <w:p w:rsidR="00000000" w:rsidDel="00000000" w:rsidP="00000000" w:rsidRDefault="00000000" w:rsidRPr="00000000" w14:paraId="0000000B">
            <w:pPr>
              <w:numPr>
                <w:ilvl w:val="0"/>
                <w:numId w:val="1"/>
              </w:numPr>
              <w:spacing w:after="240" w:before="240" w:lineRule="auto"/>
              <w:ind w:left="720" w:hanging="360"/>
              <w:rPr>
                <w:sz w:val="24"/>
                <w:szCs w:val="24"/>
                <w:u w:val="none"/>
              </w:rPr>
            </w:pPr>
            <w:r w:rsidDel="00000000" w:rsidR="00000000" w:rsidRPr="00000000">
              <w:rPr>
                <w:sz w:val="24"/>
                <w:szCs w:val="24"/>
                <w:rtl w:val="0"/>
              </w:rPr>
              <w:t xml:space="preserve">En lo posible aportar evidencia empírica basada en registros oficiales, permitiendo identificar aquellos sectores con alta competitividad externa de aquellos que sufren cuellos de botella técnicos o dependen exclusivamente de las fluctuaciones del consumo en el mercado interno. </w:t>
            </w:r>
          </w:p>
        </w:tc>
      </w:tr>
    </w:tbl>
    <w:p w:rsidR="00000000" w:rsidDel="00000000" w:rsidP="00000000" w:rsidRDefault="00000000" w:rsidRPr="00000000" w14:paraId="0000000C">
      <w:pPr>
        <w:spacing w:after="240" w:before="240" w:lineRule="auto"/>
        <w:ind w:left="0" w:firstLine="0"/>
        <w:rPr/>
      </w:pPr>
      <w:r w:rsidDel="00000000" w:rsidR="00000000" w:rsidRPr="00000000">
        <w:rPr>
          <w:rtl w:val="0"/>
        </w:rPr>
      </w:r>
    </w:p>
    <w:p w:rsidR="00000000" w:rsidDel="00000000" w:rsidP="00000000" w:rsidRDefault="00000000" w:rsidRPr="00000000" w14:paraId="0000000D">
      <w:pPr>
        <w:numPr>
          <w:ilvl w:val="0"/>
          <w:numId w:val="7"/>
        </w:numPr>
        <w:spacing w:after="240" w:before="240" w:lineRule="auto"/>
        <w:ind w:left="720" w:hanging="360"/>
        <w:rPr>
          <w:b w:val="1"/>
          <w:bCs w:val="1"/>
          <w:sz w:val="24"/>
          <w:szCs w:val="24"/>
        </w:rPr>
      </w:pPr>
      <w:r w:rsidDel="00000000" w:rsidR="00000000" w:rsidRPr="00000000">
        <w:rPr>
          <w:b w:val="1"/>
          <w:bCs w:val="1"/>
          <w:sz w:val="24"/>
          <w:szCs w:val="24"/>
          <w:rtl w:val="0"/>
        </w:rPr>
        <w:t xml:space="preserve">PREGUNTAS DE INVESTIGACIÓN</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Las preguntas que guiaron el análisis son:</w:t>
            </w:r>
          </w:p>
          <w:p w:rsidR="00000000" w:rsidDel="00000000" w:rsidP="00000000" w:rsidRDefault="00000000" w:rsidRPr="00000000" w14:paraId="0000000F">
            <w:pPr>
              <w:numPr>
                <w:ilvl w:val="0"/>
                <w:numId w:val="2"/>
              </w:numPr>
              <w:spacing w:after="0" w:afterAutospacing="0" w:before="240" w:line="240" w:lineRule="auto"/>
              <w:ind w:left="720" w:hanging="360"/>
              <w:rPr>
                <w:sz w:val="24"/>
                <w:szCs w:val="24"/>
              </w:rPr>
            </w:pPr>
            <w:r w:rsidDel="00000000" w:rsidR="00000000" w:rsidRPr="00000000">
              <w:rPr>
                <w:sz w:val="24"/>
                <w:szCs w:val="24"/>
                <w:rtl w:val="0"/>
              </w:rPr>
              <w:t xml:space="preserve">¿Cómo evolucionó el Índice de Producción Industrial (IPI) en los diferentes sectores industriales argentinos entre 2021 y 2026?</w:t>
            </w:r>
          </w:p>
          <w:p w:rsidR="00000000" w:rsidDel="00000000" w:rsidP="00000000" w:rsidRDefault="00000000" w:rsidRPr="00000000" w14:paraId="00000010">
            <w:pPr>
              <w:numPr>
                <w:ilvl w:val="0"/>
                <w:numId w:val="2"/>
              </w:numPr>
              <w:spacing w:line="240" w:lineRule="auto"/>
              <w:ind w:left="720" w:hanging="360"/>
              <w:rPr>
                <w:sz w:val="24"/>
                <w:szCs w:val="24"/>
              </w:rPr>
            </w:pPr>
            <w:r w:rsidDel="00000000" w:rsidR="00000000" w:rsidRPr="00000000">
              <w:rPr>
                <w:sz w:val="24"/>
                <w:szCs w:val="24"/>
                <w:rtl w:val="0"/>
              </w:rPr>
              <w:t xml:space="preserve">¿Qué perfiles de comportamiento productivo emergen de la relación entre el IPI, la UCII y las exportaciones en los sectores de la industria manufacturera argentina durante el período 2021-2026?</w:t>
            </w:r>
          </w:p>
          <w:p w:rsidR="00000000" w:rsidDel="00000000" w:rsidP="00000000" w:rsidRDefault="00000000" w:rsidRPr="00000000" w14:paraId="00000011">
            <w:pPr>
              <w:numPr>
                <w:ilvl w:val="0"/>
                <w:numId w:val="2"/>
              </w:numPr>
              <w:spacing w:line="240" w:lineRule="auto"/>
              <w:ind w:left="720" w:hanging="360"/>
              <w:rPr>
                <w:sz w:val="24"/>
                <w:szCs w:val="24"/>
              </w:rPr>
            </w:pPr>
            <w:r w:rsidDel="00000000" w:rsidR="00000000" w:rsidRPr="00000000">
              <w:rPr>
                <w:sz w:val="24"/>
                <w:szCs w:val="24"/>
                <w:rtl w:val="0"/>
              </w:rPr>
              <w:t xml:space="preserve">¿Qué sectores industriales presentan altos niveles de eficiencia productiva (medida como IPI/UCII), manteniendo además un desempeño sólido en exportaciones, y cómo pueden ser considerados prioritarios para la reconfiguración industrial argentina?</w:t>
            </w:r>
          </w:p>
        </w:tc>
      </w:tr>
    </w:tbl>
    <w:p w:rsidR="00000000" w:rsidDel="00000000" w:rsidP="00000000" w:rsidRDefault="00000000" w:rsidRPr="00000000" w14:paraId="00000012">
      <w:pPr>
        <w:numPr>
          <w:ilvl w:val="0"/>
          <w:numId w:val="12"/>
        </w:numPr>
        <w:spacing w:after="240" w:before="240" w:lineRule="auto"/>
        <w:ind w:left="720" w:hanging="360"/>
        <w:rPr>
          <w:b w:val="1"/>
          <w:bCs w:val="1"/>
          <w:sz w:val="24"/>
          <w:szCs w:val="24"/>
        </w:rPr>
      </w:pPr>
      <w:r w:rsidDel="00000000" w:rsidR="00000000" w:rsidRPr="00000000">
        <w:rPr>
          <w:b w:val="1"/>
          <w:bCs w:val="1"/>
          <w:sz w:val="24"/>
          <w:szCs w:val="24"/>
          <w:rtl w:val="0"/>
        </w:rPr>
        <w:t xml:space="preserve">DATOS UTILIZADOS</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Los datasets utilizados fueron:</w:t>
            </w:r>
          </w:p>
          <w:p w:rsidR="00000000" w:rsidDel="00000000" w:rsidP="00000000" w:rsidRDefault="00000000" w:rsidRPr="00000000" w14:paraId="00000014">
            <w:pPr>
              <w:numPr>
                <w:ilvl w:val="0"/>
                <w:numId w:val="6"/>
              </w:numPr>
              <w:spacing w:after="0" w:afterAutospacing="0" w:lineRule="auto"/>
              <w:ind w:left="720" w:hanging="360"/>
              <w:rPr>
                <w:sz w:val="24"/>
                <w:szCs w:val="24"/>
              </w:rPr>
            </w:pPr>
            <w:r w:rsidDel="00000000" w:rsidR="00000000" w:rsidRPr="00000000">
              <w:rPr>
                <w:sz w:val="24"/>
                <w:szCs w:val="24"/>
                <w:rtl w:val="0"/>
              </w:rPr>
              <w:t xml:space="preserve">Fuente: Archivos planos descargados de las bases oficiales del INDEC en formato CSV y .XLS: Comercio Exterior (ICA mensual), Índice de Producción Industrial Manufacturero (IPI) y Utilización de la Capacidad Instalada en la Industria (UCII).</w:t>
            </w:r>
            <w:r w:rsidDel="00000000" w:rsidR="00000000" w:rsidRPr="00000000">
              <w:rPr>
                <w:rtl w:val="0"/>
              </w:rPr>
            </w:r>
          </w:p>
          <w:p w:rsidR="00000000" w:rsidDel="00000000" w:rsidP="00000000" w:rsidRDefault="00000000" w:rsidRPr="00000000" w14:paraId="00000015">
            <w:pPr>
              <w:numPr>
                <w:ilvl w:val="0"/>
                <w:numId w:val="6"/>
              </w:numPr>
              <w:spacing w:after="0" w:afterAutospacing="0" w:line="278.00000000000006" w:lineRule="auto"/>
              <w:ind w:left="720" w:hanging="360"/>
              <w:rPr>
                <w:u w:val="none"/>
              </w:rPr>
            </w:pPr>
            <w:hyperlink r:id="rId7">
              <w:r w:rsidDel="00000000" w:rsidR="00000000" w:rsidRPr="00000000">
                <w:rPr>
                  <w:color w:val="1155cc"/>
                  <w:sz w:val="24"/>
                  <w:szCs w:val="24"/>
                  <w:u w:val="single"/>
                  <w:rtl w:val="0"/>
                </w:rPr>
                <w:t xml:space="preserve">exportaciones-mensual.csv</w:t>
              </w:r>
            </w:hyperlink>
            <w:r w:rsidDel="00000000" w:rsidR="00000000" w:rsidRPr="00000000">
              <w:rPr>
                <w:sz w:val="24"/>
                <w:szCs w:val="24"/>
                <w:rtl w:val="0"/>
              </w:rPr>
              <w:t xml:space="preserve"> </w:t>
            </w:r>
          </w:p>
          <w:p w:rsidR="00000000" w:rsidDel="00000000" w:rsidP="00000000" w:rsidRDefault="00000000" w:rsidRPr="00000000" w14:paraId="00000016">
            <w:pPr>
              <w:numPr>
                <w:ilvl w:val="0"/>
                <w:numId w:val="6"/>
              </w:numPr>
              <w:spacing w:after="0" w:afterAutospacing="0" w:line="278.00000000000006" w:lineRule="auto"/>
              <w:ind w:left="720" w:hanging="360"/>
              <w:rPr>
                <w:u w:val="none"/>
              </w:rPr>
            </w:pPr>
            <w:r w:rsidDel="00000000" w:rsidR="00000000" w:rsidRPr="00000000">
              <w:rPr>
                <w:sz w:val="24"/>
                <w:szCs w:val="24"/>
                <w:rtl w:val="0"/>
              </w:rPr>
              <w:t xml:space="preserve"> </w:t>
            </w:r>
            <w:hyperlink r:id="rId8">
              <w:r w:rsidDel="00000000" w:rsidR="00000000" w:rsidRPr="00000000">
                <w:rPr>
                  <w:color w:val="0000ee"/>
                  <w:sz w:val="24"/>
                  <w:szCs w:val="24"/>
                  <w:u w:val="single"/>
                  <w:rtl w:val="0"/>
                </w:rPr>
                <w:t xml:space="preserve">sh_capacidad_04_26.xls</w:t>
              </w:r>
            </w:hyperlink>
            <w:r w:rsidDel="00000000" w:rsidR="00000000" w:rsidRPr="00000000">
              <w:rPr>
                <w:rtl w:val="0"/>
              </w:rPr>
            </w:r>
          </w:p>
          <w:p w:rsidR="00000000" w:rsidDel="00000000" w:rsidP="00000000" w:rsidRDefault="00000000" w:rsidRPr="00000000" w14:paraId="00000017">
            <w:pPr>
              <w:numPr>
                <w:ilvl w:val="0"/>
                <w:numId w:val="6"/>
              </w:numPr>
              <w:spacing w:after="240" w:before="0" w:lineRule="auto"/>
              <w:ind w:left="720" w:hanging="360"/>
              <w:rPr>
                <w:sz w:val="24"/>
                <w:szCs w:val="24"/>
                <w:u w:val="none"/>
              </w:rPr>
            </w:pPr>
            <w:r w:rsidDel="00000000" w:rsidR="00000000" w:rsidRPr="00000000">
              <w:rPr>
                <w:sz w:val="24"/>
                <w:szCs w:val="24"/>
                <w:rtl w:val="0"/>
              </w:rPr>
              <w:t xml:space="preserve"> </w:t>
            </w:r>
            <w:hyperlink r:id="rId9">
              <w:r w:rsidDel="00000000" w:rsidR="00000000" w:rsidRPr="00000000">
                <w:rPr>
                  <w:color w:val="0000ee"/>
                  <w:sz w:val="24"/>
                  <w:szCs w:val="24"/>
                  <w:u w:val="single"/>
                  <w:rtl w:val="0"/>
                </w:rPr>
                <w:t xml:space="preserve">sh_ipi_manufacturero_2026.xls</w:t>
              </w:r>
            </w:hyperlink>
            <w:r w:rsidDel="00000000" w:rsidR="00000000" w:rsidRPr="00000000">
              <w:rPr>
                <w:rtl w:val="0"/>
              </w:rPr>
            </w:r>
          </w:p>
        </w:tc>
      </w:tr>
    </w:tbl>
    <w:p w:rsidR="00000000" w:rsidDel="00000000" w:rsidP="00000000" w:rsidRDefault="00000000" w:rsidRPr="00000000" w14:paraId="00000018">
      <w:pPr>
        <w:spacing w:after="240" w:before="240" w:lineRule="auto"/>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Variables utilizadas en el análisis:</w:t>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spacing w:line="240" w:lineRule="auto"/>
              <w:ind w:left="720" w:hanging="360"/>
            </w:pPr>
            <w:r w:rsidDel="00000000" w:rsidR="00000000" w:rsidRPr="00000000">
              <w:rPr>
                <w:color w:val="1f1f1f"/>
                <w:sz w:val="24"/>
                <w:szCs w:val="24"/>
                <w:rtl w:val="0"/>
              </w:rPr>
              <w:t xml:space="preserve">Índice</w:t>
            </w:r>
            <w:r w:rsidDel="00000000" w:rsidR="00000000" w:rsidRPr="00000000">
              <w:rPr>
                <w:color w:val="1f1f1f"/>
                <w:sz w:val="24"/>
                <w:szCs w:val="24"/>
                <w:rtl w:val="0"/>
              </w:rPr>
              <w:t xml:space="preserve"> de Producción Industrial (IPI) por año y sector.</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spacing w:line="240" w:lineRule="auto"/>
              <w:ind w:left="720" w:hanging="360"/>
              <w:rPr>
                <w:color w:val="1f1f1f"/>
                <w:sz w:val="24"/>
                <w:szCs w:val="24"/>
                <w:u w:val="none"/>
              </w:rPr>
            </w:pPr>
            <w:r w:rsidDel="00000000" w:rsidR="00000000" w:rsidRPr="00000000">
              <w:rPr>
                <w:color w:val="1f1f1f"/>
                <w:sz w:val="24"/>
                <w:szCs w:val="24"/>
                <w:rtl w:val="0"/>
              </w:rPr>
              <w:t xml:space="preserve">IPI (Índice de producción Industrial), UCII (Porcentaje de utilización de capacidad instalada) y Exportaciones USD (Monto exportado en millones </w:t>
            </w:r>
            <w:r w:rsidDel="00000000" w:rsidR="00000000" w:rsidRPr="00000000">
              <w:rPr>
                <w:color w:val="1f1f1f"/>
                <w:sz w:val="24"/>
                <w:szCs w:val="24"/>
                <w:rtl w:val="0"/>
              </w:rPr>
              <w:t xml:space="preserve">del</w:t>
            </w:r>
            <w:r w:rsidDel="00000000" w:rsidR="00000000" w:rsidRPr="00000000">
              <w:rPr>
                <w:color w:val="1f1f1f"/>
                <w:sz w:val="24"/>
                <w:szCs w:val="24"/>
                <w:rtl w:val="0"/>
              </w:rPr>
              <w:t xml:space="preserve"> ICA).</w:t>
            </w:r>
          </w:p>
          <w:p w:rsidR="00000000" w:rsidDel="00000000" w:rsidP="00000000" w:rsidRDefault="00000000" w:rsidRPr="00000000" w14:paraId="0000001C">
            <w:pPr>
              <w:numPr>
                <w:ilvl w:val="0"/>
                <w:numId w:val="10"/>
              </w:numPr>
              <w:pBdr>
                <w:top w:color="auto" w:space="0" w:sz="0" w:val="none"/>
                <w:bottom w:color="auto" w:space="0" w:sz="0" w:val="none"/>
                <w:right w:color="auto" w:space="0" w:sz="0" w:val="none"/>
                <w:between w:color="auto" w:space="0" w:sz="0" w:val="none"/>
              </w:pBdr>
              <w:spacing w:line="240" w:lineRule="auto"/>
              <w:ind w:left="720" w:hanging="360"/>
              <w:rPr>
                <w:color w:val="1f1f1f"/>
                <w:sz w:val="24"/>
                <w:szCs w:val="24"/>
                <w:u w:val="none"/>
              </w:rPr>
            </w:pPr>
            <w:r w:rsidDel="00000000" w:rsidR="00000000" w:rsidRPr="00000000">
              <w:rPr>
                <w:color w:val="1f1f1f"/>
                <w:sz w:val="24"/>
                <w:szCs w:val="24"/>
                <w:rtl w:val="0"/>
              </w:rPr>
              <w:t xml:space="preserve">Medida calculada :Eficiencia Productiva (IPI/UCII) y Exportaciones USD (Monto FOB en millones proveniente del ICA del INDEC).</w:t>
            </w: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Período analizado: </w:t>
            </w:r>
            <w:r w:rsidDel="00000000" w:rsidR="00000000" w:rsidRPr="00000000">
              <w:rPr>
                <w:sz w:val="24"/>
                <w:szCs w:val="24"/>
                <w:rtl w:val="0"/>
              </w:rPr>
              <w:t xml:space="preserve">2021-2026</w:t>
            </w:r>
            <w:r w:rsidDel="00000000" w:rsidR="00000000" w:rsidRPr="00000000">
              <w:rPr>
                <w:rtl w:val="0"/>
              </w:rPr>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Cantidad de registros:</w:t>
            </w:r>
            <w:r w:rsidDel="00000000" w:rsidR="00000000" w:rsidRPr="00000000">
              <w:rPr>
                <w:sz w:val="24"/>
                <w:szCs w:val="24"/>
                <w:rtl w:val="0"/>
              </w:rPr>
              <w:t xml:space="preserve"> </w:t>
            </w:r>
          </w:p>
        </w:tc>
      </w:tr>
    </w:tbl>
    <w:p w:rsidR="00000000" w:rsidDel="00000000" w:rsidP="00000000" w:rsidRDefault="00000000" w:rsidRPr="00000000" w14:paraId="0000001F">
      <w:pPr>
        <w:numPr>
          <w:ilvl w:val="0"/>
          <w:numId w:val="17"/>
        </w:numPr>
        <w:spacing w:after="240" w:before="240" w:lineRule="auto"/>
        <w:ind w:left="720" w:hanging="360"/>
        <w:rPr>
          <w:b w:val="1"/>
          <w:bCs w:val="1"/>
          <w:sz w:val="24"/>
          <w:szCs w:val="24"/>
        </w:rPr>
      </w:pPr>
      <w:r w:rsidDel="00000000" w:rsidR="00000000" w:rsidRPr="00000000">
        <w:rPr>
          <w:b w:val="1"/>
          <w:bCs w:val="1"/>
          <w:sz w:val="24"/>
          <w:szCs w:val="24"/>
          <w:rtl w:val="0"/>
        </w:rPr>
        <w:t xml:space="preserve">PREPARACIÓN DE DATOS</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Para el análisis se realizaron las siguientes tareas:</w:t>
            </w:r>
          </w:p>
          <w:p w:rsidR="00000000" w:rsidDel="00000000" w:rsidP="00000000" w:rsidRDefault="00000000" w:rsidRPr="00000000" w14:paraId="00000021">
            <w:pPr>
              <w:numPr>
                <w:ilvl w:val="0"/>
                <w:numId w:val="20"/>
              </w:numPr>
              <w:spacing w:after="160" w:line="278.00000000000006" w:lineRule="auto"/>
              <w:ind w:left="720" w:hanging="360"/>
              <w:rPr>
                <w:sz w:val="24"/>
                <w:szCs w:val="24"/>
                <w:u w:val="none"/>
              </w:rPr>
            </w:pPr>
            <w:hyperlink r:id="rId10">
              <w:r w:rsidDel="00000000" w:rsidR="00000000" w:rsidRPr="00000000">
                <w:rPr>
                  <w:color w:val="0000ee"/>
                  <w:sz w:val="24"/>
                  <w:szCs w:val="24"/>
                  <w:u w:val="single"/>
                  <w:rtl w:val="0"/>
                </w:rPr>
                <w:t xml:space="preserve">PP1_Check_LimpiezayNormalizacion.xlsx</w:t>
              </w:r>
            </w:hyperlink>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16"/>
        </w:numPr>
        <w:spacing w:after="240" w:before="240" w:lineRule="auto"/>
        <w:ind w:left="720" w:hanging="360"/>
        <w:rPr>
          <w:b w:val="1"/>
          <w:bCs w:val="1"/>
          <w:sz w:val="24"/>
          <w:szCs w:val="24"/>
        </w:rPr>
      </w:pPr>
      <w:r w:rsidDel="00000000" w:rsidR="00000000" w:rsidRPr="00000000">
        <w:rPr>
          <w:b w:val="1"/>
          <w:bCs w:val="1"/>
          <w:sz w:val="24"/>
          <w:szCs w:val="24"/>
          <w:rtl w:val="0"/>
        </w:rPr>
        <w:t xml:space="preserve">ANÁLISIS EXPLORATORIO</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3"/>
              <w:keepNext w:val="0"/>
              <w:keepLines w:val="0"/>
              <w:spacing w:before="0" w:lineRule="auto"/>
              <w:rPr>
                <w:b w:val="1"/>
                <w:bCs w:val="1"/>
                <w:color w:val="000000"/>
                <w:sz w:val="24"/>
                <w:szCs w:val="24"/>
              </w:rPr>
            </w:pPr>
            <w:bookmarkStart w:colFirst="0" w:colLast="0" w:name="_heading=h.ooc42bdt5ueg" w:id="0"/>
            <w:bookmarkEnd w:id="0"/>
            <w:r w:rsidDel="00000000" w:rsidR="00000000" w:rsidRPr="00000000">
              <w:rPr>
                <w:b w:val="1"/>
                <w:bCs w:val="1"/>
                <w:color w:val="000000"/>
                <w:sz w:val="24"/>
                <w:szCs w:val="24"/>
                <w:rtl w:val="0"/>
              </w:rPr>
              <w:t xml:space="preserve">Gráfico 1</w:t>
            </w:r>
          </w:p>
          <w:p w:rsidR="00000000" w:rsidDel="00000000" w:rsidP="00000000" w:rsidRDefault="00000000" w:rsidRPr="00000000" w14:paraId="00000025">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Qué muestra: </w:t>
            </w:r>
            <w:r w:rsidDel="00000000" w:rsidR="00000000" w:rsidRPr="00000000">
              <w:rPr>
                <w:sz w:val="24"/>
                <w:szCs w:val="24"/>
                <w:rtl w:val="0"/>
              </w:rPr>
              <w:t xml:space="preserve">La evolución del Índice de Producción Industrial en distintos sectores manufactureros entre 2024 y 2026.</w:t>
            </w:r>
          </w:p>
          <w:p w:rsidR="00000000" w:rsidDel="00000000" w:rsidP="00000000" w:rsidRDefault="00000000" w:rsidRPr="00000000" w14:paraId="00000026">
            <w:pPr>
              <w:numPr>
                <w:ilvl w:val="0"/>
                <w:numId w:val="19"/>
              </w:numPr>
              <w:spacing w:before="0" w:beforeAutospacing="0" w:lineRule="auto"/>
              <w:ind w:left="720" w:hanging="360"/>
              <w:rPr>
                <w:sz w:val="24"/>
                <w:szCs w:val="24"/>
              </w:rPr>
            </w:pPr>
            <w:r w:rsidDel="00000000" w:rsidR="00000000" w:rsidRPr="00000000">
              <w:rPr>
                <w:b w:val="1"/>
                <w:bCs w:val="1"/>
                <w:sz w:val="24"/>
                <w:szCs w:val="24"/>
                <w:rtl w:val="0"/>
              </w:rPr>
              <w:t xml:space="preserve">Qué se observa: </w:t>
            </w:r>
            <w:r w:rsidDel="00000000" w:rsidR="00000000" w:rsidRPr="00000000">
              <w:rPr>
                <w:color w:val="1f1f1f"/>
                <w:sz w:val="24"/>
                <w:szCs w:val="24"/>
                <w:rtl w:val="0"/>
              </w:rPr>
              <w:t xml:space="preserve">Que la mayoría de los sectores industriales muestran un crecimiento de su producción desde el año 2021 hasta alcanzar los valores máximos entre 2022 y 2023, marcando así un periodo de expansión productiva. En el año 2024 se observa en casi todos los sectores una caída significativa en el IPI, evidenciando un descenso generalizado en la producción industrial del país. Sectores como Alimentos y Bebidas mantienen niveles relativamente altos </w:t>
            </w:r>
            <w:r w:rsidDel="00000000" w:rsidR="00000000" w:rsidRPr="00000000">
              <w:rPr>
                <w:color w:val="1f1f1f"/>
                <w:sz w:val="24"/>
                <w:szCs w:val="24"/>
                <w:rtl w:val="0"/>
              </w:rPr>
              <w:t xml:space="preserve">y estables</w:t>
            </w:r>
            <w:r w:rsidDel="00000000" w:rsidR="00000000" w:rsidRPr="00000000">
              <w:rPr>
                <w:color w:val="1f1f1f"/>
                <w:sz w:val="24"/>
                <w:szCs w:val="24"/>
                <w:rtl w:val="0"/>
              </w:rPr>
              <w:t xml:space="preserve"> incluso durante y después de la caída de 2024, mostrando una mayor resiliencia productiva. El sector Automotriz muestra una tendencia ascendente hasta 2023, pero a partir de 2024 presenta una caída significativa sin recuperación visible hasta 2026, permaneciendo en niveles inferiores al pico. Otros sectores como Productos Textiles e Industrias Metálicas Básicas muestran una caída pronunciada en 2024 con recuperación parcial o estancamiento hasta 2026, indicando vulnerabilidad frente a factores adversos para el aparato productivo. </w:t>
            </w:r>
            <w:r w:rsidDel="00000000" w:rsidR="00000000" w:rsidRPr="00000000">
              <w:rPr>
                <w:sz w:val="24"/>
                <w:szCs w:val="24"/>
                <w:rtl w:val="0"/>
              </w:rPr>
              <w:t xml:space="preserve">La refinación</w:t>
            </w:r>
            <w:r w:rsidDel="00000000" w:rsidR="00000000" w:rsidRPr="00000000">
              <w:rPr>
                <w:sz w:val="24"/>
                <w:szCs w:val="24"/>
                <w:rtl w:val="0"/>
              </w:rPr>
              <w:t xml:space="preserve"> de Petróleo se consolidó como la única excepción al comportamiento general. Este sector mantuvo una pendiente positiva y un crecimiento sostenido hacia el año 2026, alcanzando los niveles más altos de uso de maquinaria de todo el panel (UCII máxima cercana al 78,39%). Este comportamiento lo separa por completo de la crisis de estancamiento del resto de la industria local. </w:t>
            </w:r>
            <w:r w:rsidDel="00000000" w:rsidR="00000000" w:rsidRPr="00000000">
              <w:rPr>
                <w:color w:val="1f1f1f"/>
                <w:sz w:val="24"/>
                <w:szCs w:val="24"/>
                <w:rtl w:val="0"/>
              </w:rPr>
              <w:t xml:space="preserve">En conclusión, se observa que la evolución del IPI muestra una fuerte dinámica de    crecimiento inicial con impacto negativo generalizado en 2024 y post-2024 con comportamientos diferenciados: resiliencia en algunos sectores clave, falta de recuperación en otros y una única excepción con crecimiento sostenido.</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4"/>
                <w:szCs w:val="24"/>
              </w:rPr>
            </w:pPr>
            <w:bookmarkStart w:colFirst="0" w:colLast="0" w:name="_heading=h.mx81cmeku6uf" w:id="1"/>
            <w:bookmarkEnd w:id="1"/>
            <w:r w:rsidDel="00000000" w:rsidR="00000000" w:rsidRPr="00000000">
              <w:rPr>
                <w:b w:val="1"/>
                <w:bCs w:val="1"/>
                <w:color w:val="000000"/>
                <w:sz w:val="24"/>
                <w:szCs w:val="24"/>
                <w:rtl w:val="0"/>
              </w:rPr>
              <w:t xml:space="preserve">Gráfico 2</w:t>
            </w:r>
          </w:p>
          <w:p w:rsidR="00000000" w:rsidDel="00000000" w:rsidP="00000000" w:rsidRDefault="00000000" w:rsidRPr="00000000" w14:paraId="00000028">
            <w:pPr>
              <w:numPr>
                <w:ilvl w:val="0"/>
                <w:numId w:val="21"/>
              </w:numPr>
              <w:spacing w:after="0" w:afterAutospacing="0" w:before="240" w:lineRule="auto"/>
              <w:ind w:left="720" w:hanging="360"/>
              <w:rPr>
                <w:sz w:val="24"/>
                <w:szCs w:val="24"/>
              </w:rPr>
            </w:pPr>
            <w:r w:rsidDel="00000000" w:rsidR="00000000" w:rsidRPr="00000000">
              <w:rPr>
                <w:b w:val="1"/>
                <w:bCs w:val="1"/>
                <w:sz w:val="24"/>
                <w:szCs w:val="24"/>
                <w:rtl w:val="0"/>
              </w:rPr>
              <w:t xml:space="preserve">Qué muestra:</w:t>
            </w:r>
            <w:r w:rsidDel="00000000" w:rsidR="00000000" w:rsidRPr="00000000">
              <w:rPr>
                <w:sz w:val="24"/>
                <w:szCs w:val="24"/>
                <w:rtl w:val="0"/>
              </w:rPr>
              <w:t xml:space="preserve"> Un gráfico de dispersión multidimensional basado en el objeto visual interactivo, ubicando el Promedio de IPI y la Utilización de la Capacidad Instalada (UCII) en los ejes cartesianos, incorporando el volumen de Exportaciones como atributo de peso.</w:t>
            </w:r>
          </w:p>
          <w:p w:rsidR="00000000" w:rsidDel="00000000" w:rsidP="00000000" w:rsidRDefault="00000000" w:rsidRPr="00000000" w14:paraId="00000029">
            <w:pPr>
              <w:numPr>
                <w:ilvl w:val="0"/>
                <w:numId w:val="21"/>
              </w:numPr>
              <w:spacing w:before="0" w:beforeAutospacing="0" w:lineRule="auto"/>
              <w:ind w:left="720" w:hanging="360"/>
              <w:rPr>
                <w:sz w:val="24"/>
                <w:szCs w:val="24"/>
              </w:rPr>
            </w:pPr>
            <w:r w:rsidDel="00000000" w:rsidR="00000000" w:rsidRPr="00000000">
              <w:rPr>
                <w:b w:val="1"/>
                <w:bCs w:val="1"/>
                <w:sz w:val="24"/>
                <w:szCs w:val="24"/>
                <w:rtl w:val="0"/>
              </w:rPr>
              <w:t xml:space="preserve">Qué se observa: </w:t>
            </w:r>
            <w:r w:rsidDel="00000000" w:rsidR="00000000" w:rsidRPr="00000000">
              <w:rPr>
                <w:sz w:val="24"/>
                <w:szCs w:val="24"/>
                <w:rtl w:val="0"/>
              </w:rPr>
              <w:t xml:space="preserve">Se distinguen tres perfiles diferenciados:  </w:t>
            </w:r>
          </w:p>
          <w:p w:rsidR="00000000" w:rsidDel="00000000" w:rsidP="00000000" w:rsidRDefault="00000000" w:rsidRPr="00000000" w14:paraId="0000002A">
            <w:pPr>
              <w:spacing w:before="240" w:lineRule="auto"/>
              <w:ind w:left="720" w:firstLine="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Sectores con alta producción (IPI alto), capacidad media-alta (UCII 50-70%) y fuertes a moderadas exportaciones (Ej.: Alimentos y bebidas, Automotriz, Productos Químicos).</w:t>
            </w:r>
          </w:p>
          <w:p w:rsidR="00000000" w:rsidDel="00000000" w:rsidP="00000000" w:rsidRDefault="00000000" w:rsidRPr="00000000" w14:paraId="0000002B">
            <w:pPr>
              <w:ind w:left="720" w:firstLine="0"/>
              <w:rPr>
                <w:sz w:val="24"/>
                <w:szCs w:val="24"/>
              </w:rPr>
            </w:pPr>
            <w:r w:rsidDel="00000000" w:rsidR="00000000" w:rsidRPr="00000000">
              <w:rPr>
                <w:color w:val="1f1f1f"/>
                <w:sz w:val="24"/>
                <w:szCs w:val="24"/>
                <w:rtl w:val="0"/>
              </w:rPr>
              <w:t xml:space="preserve">2.</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sz w:val="24"/>
                <w:szCs w:val="24"/>
                <w:rtl w:val="0"/>
              </w:rPr>
              <w:t xml:space="preserve">Sectores con un Uso Intensivo de Factores con buenas exportaciones  como el de Refinación de Petróleo, registrando los porcentajes más altos de utilización de capacidad instalada (UCII máxima) de todo el tablero.</w:t>
            </w:r>
          </w:p>
          <w:p w:rsidR="00000000" w:rsidDel="00000000" w:rsidP="00000000" w:rsidRDefault="00000000" w:rsidRPr="00000000" w14:paraId="0000002C">
            <w:pPr>
              <w:ind w:left="720" w:firstLine="0"/>
              <w:rPr>
                <w:sz w:val="24"/>
                <w:szCs w:val="24"/>
              </w:rPr>
            </w:pPr>
            <w:r w:rsidDel="00000000" w:rsidR="00000000" w:rsidRPr="00000000">
              <w:rPr>
                <w:color w:val="1f1f1f"/>
                <w:sz w:val="24"/>
                <w:szCs w:val="24"/>
                <w:rtl w:val="0"/>
              </w:rPr>
              <w:t xml:space="preserve">3.</w:t>
            </w:r>
            <w:r w:rsidDel="00000000" w:rsidR="00000000" w:rsidRPr="00000000">
              <w:rPr>
                <w:rFonts w:ascii="Times New Roman" w:cs="Times New Roman" w:eastAsia="Times New Roman" w:hAnsi="Times New Roman"/>
                <w:color w:val="1f1f1f"/>
                <w:sz w:val="14"/>
                <w:szCs w:val="14"/>
                <w:rtl w:val="0"/>
              </w:rPr>
              <w:t xml:space="preserve"> </w:t>
            </w:r>
            <w:r w:rsidDel="00000000" w:rsidR="00000000" w:rsidRPr="00000000">
              <w:rPr>
                <w:sz w:val="24"/>
                <w:szCs w:val="24"/>
                <w:rtl w:val="0"/>
              </w:rPr>
              <w:t xml:space="preserve">Sectores rezagados con  Registros Bajos en Todas las Variables: Aquí se agrupan  de manera compacta Productos Textiles, Productos de Tabaco y Productos de Caucho y Plástico. Estas ramas se ubican de forma estática en el cuadrante inferior izquierdo del tablero, manifestando un comportamiento contractivo y homogéneo.</w:t>
            </w:r>
          </w:p>
          <w:p w:rsidR="00000000" w:rsidDel="00000000" w:rsidP="00000000" w:rsidRDefault="00000000" w:rsidRPr="00000000" w14:paraId="0000002D">
            <w:pPr>
              <w:pStyle w:val="Heading3"/>
              <w:keepNext w:val="0"/>
              <w:keepLines w:val="0"/>
              <w:spacing w:before="280" w:lineRule="auto"/>
              <w:rPr>
                <w:b w:val="1"/>
                <w:bCs w:val="1"/>
                <w:color w:val="000000"/>
                <w:sz w:val="24"/>
                <w:szCs w:val="24"/>
              </w:rPr>
            </w:pPr>
            <w:bookmarkStart w:colFirst="0" w:colLast="0" w:name="_heading=h.zho70h5vc4wf" w:id="2"/>
            <w:bookmarkEnd w:id="2"/>
            <w:r w:rsidDel="00000000" w:rsidR="00000000" w:rsidRPr="00000000">
              <w:rPr>
                <w:b w:val="1"/>
                <w:bCs w:val="1"/>
                <w:color w:val="000000"/>
                <w:sz w:val="24"/>
                <w:szCs w:val="24"/>
                <w:rtl w:val="0"/>
              </w:rPr>
              <w:t xml:space="preserve">Gráfico 3</w:t>
            </w:r>
          </w:p>
          <w:p w:rsidR="00000000" w:rsidDel="00000000" w:rsidP="00000000" w:rsidRDefault="00000000" w:rsidRPr="00000000" w14:paraId="0000002E">
            <w:pPr>
              <w:numPr>
                <w:ilvl w:val="0"/>
                <w:numId w:val="22"/>
              </w:numPr>
              <w:spacing w:after="0" w:afterAutospacing="0" w:before="240" w:lineRule="auto"/>
              <w:ind w:left="720" w:hanging="360"/>
              <w:rPr>
                <w:sz w:val="24"/>
                <w:szCs w:val="24"/>
              </w:rPr>
            </w:pPr>
            <w:r w:rsidDel="00000000" w:rsidR="00000000" w:rsidRPr="00000000">
              <w:rPr>
                <w:b w:val="1"/>
                <w:bCs w:val="1"/>
                <w:sz w:val="24"/>
                <w:szCs w:val="24"/>
                <w:rtl w:val="0"/>
              </w:rPr>
              <w:t xml:space="preserve">Qué muestra: </w:t>
            </w:r>
            <w:r w:rsidDel="00000000" w:rsidR="00000000" w:rsidRPr="00000000">
              <w:rPr>
                <w:sz w:val="24"/>
                <w:szCs w:val="24"/>
                <w:rtl w:val="0"/>
              </w:rPr>
              <w:t xml:space="preserve">Un gráfico de barras agrupadas o combinadas que expone de forma estática el volumen absoluto promedio de divisas generadas frente al rendimiento de actividad de cada sector industrial.</w:t>
            </w:r>
          </w:p>
          <w:p w:rsidR="00000000" w:rsidDel="00000000" w:rsidP="00000000" w:rsidRDefault="00000000" w:rsidRPr="00000000" w14:paraId="0000002F">
            <w:pPr>
              <w:numPr>
                <w:ilvl w:val="0"/>
                <w:numId w:val="22"/>
              </w:numPr>
              <w:spacing w:after="240" w:before="0" w:beforeAutospacing="0" w:lineRule="auto"/>
              <w:ind w:left="720" w:hanging="360"/>
              <w:rPr>
                <w:sz w:val="24"/>
                <w:szCs w:val="24"/>
              </w:rPr>
            </w:pPr>
            <w:r w:rsidDel="00000000" w:rsidR="00000000" w:rsidRPr="00000000">
              <w:rPr>
                <w:b w:val="1"/>
                <w:bCs w:val="1"/>
                <w:sz w:val="24"/>
                <w:szCs w:val="24"/>
                <w:rtl w:val="0"/>
              </w:rPr>
              <w:t xml:space="preserve">Qué se observa: </w:t>
            </w:r>
            <w:r w:rsidDel="00000000" w:rsidR="00000000" w:rsidRPr="00000000">
              <w:rPr>
                <w:sz w:val="24"/>
                <w:szCs w:val="24"/>
                <w:rtl w:val="0"/>
              </w:rPr>
              <w:t xml:space="preserve">Se confirma la heterogeneidad estructural: un grupo motor que impulsa la economía, un sector intermedio con potencial pero restricciones internas, y ramas rezagadas que requieren apoyo específico. Este hallazgo refuerza la necesidad de políticas diferenciadas y focalizadas. </w:t>
            </w:r>
          </w:p>
        </w:tc>
      </w:tr>
    </w:tbl>
    <w:p w:rsidR="00000000" w:rsidDel="00000000" w:rsidP="00000000" w:rsidRDefault="00000000" w:rsidRPr="00000000" w14:paraId="00000030">
      <w:pPr>
        <w:numPr>
          <w:ilvl w:val="0"/>
          <w:numId w:val="11"/>
        </w:numPr>
        <w:spacing w:after="240" w:before="240" w:lineRule="auto"/>
        <w:ind w:left="720" w:hanging="360"/>
        <w:rPr>
          <w:b w:val="1"/>
          <w:bCs w:val="1"/>
          <w:sz w:val="24"/>
          <w:szCs w:val="24"/>
        </w:rPr>
      </w:pPr>
      <w:r w:rsidDel="00000000" w:rsidR="00000000" w:rsidRPr="00000000">
        <w:rPr>
          <w:b w:val="1"/>
          <w:bCs w:val="1"/>
          <w:sz w:val="24"/>
          <w:szCs w:val="24"/>
          <w:rtl w:val="0"/>
        </w:rPr>
        <w:t xml:space="preserve">INSIGHTS PRINCIPALES</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sz w:val="24"/>
                <w:szCs w:val="24"/>
              </w:rPr>
            </w:pPr>
            <w:r w:rsidDel="00000000" w:rsidR="00000000" w:rsidRPr="00000000">
              <w:rPr>
                <w:b w:val="1"/>
                <w:bCs w:val="1"/>
                <w:sz w:val="24"/>
                <w:szCs w:val="24"/>
                <w:rtl w:val="0"/>
              </w:rPr>
              <w:t xml:space="preserve">Insight 1:</w:t>
            </w:r>
          </w:p>
          <w:p w:rsidR="00000000" w:rsidDel="00000000" w:rsidP="00000000" w:rsidRDefault="00000000" w:rsidRPr="00000000" w14:paraId="00000032">
            <w:pPr>
              <w:numPr>
                <w:ilvl w:val="0"/>
                <w:numId w:val="18"/>
              </w:numPr>
              <w:spacing w:after="0" w:afterAutospacing="0" w:line="278.00000000000006" w:lineRule="auto"/>
              <w:ind w:left="720" w:hanging="360"/>
              <w:rPr>
                <w:sz w:val="24"/>
                <w:szCs w:val="24"/>
                <w:u w:val="none"/>
              </w:rPr>
            </w:pPr>
            <w:r w:rsidDel="00000000" w:rsidR="00000000" w:rsidRPr="00000000">
              <w:rPr>
                <w:b w:val="1"/>
                <w:bCs w:val="1"/>
                <w:sz w:val="24"/>
                <w:szCs w:val="24"/>
                <w:rtl w:val="0"/>
              </w:rPr>
              <w:t xml:space="preserve">Gráfico:</w:t>
            </w:r>
            <w:r w:rsidDel="00000000" w:rsidR="00000000" w:rsidRPr="00000000">
              <w:rPr>
                <w:sz w:val="24"/>
                <w:szCs w:val="24"/>
                <w:rtl w:val="0"/>
              </w:rPr>
              <w:t xml:space="preserve"> </w:t>
            </w:r>
            <w:hyperlink r:id="rId11">
              <w:r w:rsidDel="00000000" w:rsidR="00000000" w:rsidRPr="00000000">
                <w:rPr>
                  <w:color w:val="0000ee"/>
                  <w:sz w:val="24"/>
                  <w:szCs w:val="24"/>
                  <w:u w:val="single"/>
                  <w:rtl w:val="0"/>
                </w:rPr>
                <w:t xml:space="preserve">P1 — Evolución IPI 2021-2026 .png</w:t>
              </w:r>
            </w:hyperlink>
            <w:r w:rsidDel="00000000" w:rsidR="00000000" w:rsidRPr="00000000">
              <w:rPr>
                <w:rtl w:val="0"/>
              </w:rPr>
            </w:r>
          </w:p>
          <w:p w:rsidR="00000000" w:rsidDel="00000000" w:rsidP="00000000" w:rsidRDefault="00000000" w:rsidRPr="00000000" w14:paraId="00000033">
            <w:pPr>
              <w:numPr>
                <w:ilvl w:val="0"/>
                <w:numId w:val="18"/>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Insight (Conocimiento profundo): </w:t>
            </w:r>
            <w:r w:rsidDel="00000000" w:rsidR="00000000" w:rsidRPr="00000000">
              <w:rPr>
                <w:sz w:val="24"/>
                <w:szCs w:val="24"/>
                <w:rtl w:val="0"/>
              </w:rPr>
              <w:t xml:space="preserve">El sector de Refinación de Petróleo muestra un comportamiento anticíclico y resiliente frente a la contracción generalizada </w:t>
            </w:r>
            <w:r w:rsidDel="00000000" w:rsidR="00000000" w:rsidRPr="00000000">
              <w:rPr>
                <w:sz w:val="24"/>
                <w:szCs w:val="24"/>
                <w:rtl w:val="0"/>
              </w:rPr>
              <w:t xml:space="preserve">post‑2024</w:t>
            </w:r>
            <w:r w:rsidDel="00000000" w:rsidR="00000000" w:rsidRPr="00000000">
              <w:rPr>
                <w:sz w:val="24"/>
                <w:szCs w:val="24"/>
                <w:rtl w:val="0"/>
              </w:rPr>
              <w:t xml:space="preserve">, alcanzando máximos de uso de maquinaria y producción en 2026.</w:t>
            </w:r>
          </w:p>
          <w:p w:rsidR="00000000" w:rsidDel="00000000" w:rsidP="00000000" w:rsidRDefault="00000000" w:rsidRPr="00000000" w14:paraId="00000034">
            <w:pPr>
              <w:numPr>
                <w:ilvl w:val="0"/>
                <w:numId w:val="18"/>
              </w:numPr>
              <w:spacing w:after="0" w:afterAutospacing="0" w:before="0" w:beforeAutospacing="0" w:lineRule="auto"/>
              <w:ind w:left="720" w:hanging="360"/>
              <w:rPr>
                <w:b w:val="1"/>
                <w:bCs w:val="1"/>
                <w:sz w:val="24"/>
                <w:szCs w:val="24"/>
                <w:u w:val="none"/>
              </w:rPr>
            </w:pPr>
            <w:r w:rsidDel="00000000" w:rsidR="00000000" w:rsidRPr="00000000">
              <w:rPr>
                <w:b w:val="1"/>
                <w:bCs w:val="1"/>
                <w:sz w:val="24"/>
                <w:szCs w:val="24"/>
                <w:rtl w:val="0"/>
              </w:rPr>
              <w:t xml:space="preserve">Hallazgo: </w:t>
            </w:r>
            <w:r w:rsidDel="00000000" w:rsidR="00000000" w:rsidRPr="00000000">
              <w:rPr>
                <w:sz w:val="24"/>
                <w:szCs w:val="24"/>
                <w:rtl w:val="0"/>
              </w:rPr>
              <w:t xml:space="preserve">Se identificó un quiebre estructural en la tendencia industrial: mientras la mayoría de las ramas manufactureras entraron en fase contractiva, la Refinación de Petróleo se consolidó como excepción, desacoplándose del estancamiento.</w:t>
            </w:r>
          </w:p>
          <w:p w:rsidR="00000000" w:rsidDel="00000000" w:rsidP="00000000" w:rsidRDefault="00000000" w:rsidRPr="00000000" w14:paraId="00000035">
            <w:pPr>
              <w:numPr>
                <w:ilvl w:val="0"/>
                <w:numId w:val="18"/>
              </w:numPr>
              <w:spacing w:after="240" w:before="0" w:beforeAutospacing="0" w:lineRule="auto"/>
              <w:ind w:left="720" w:hanging="360"/>
              <w:rPr>
                <w:b w:val="1"/>
                <w:bCs w:val="1"/>
                <w:sz w:val="24"/>
                <w:szCs w:val="24"/>
                <w:u w:val="none"/>
              </w:rPr>
            </w:pPr>
            <w:r w:rsidDel="00000000" w:rsidR="00000000" w:rsidRPr="00000000">
              <w:rPr>
                <w:b w:val="1"/>
                <w:bCs w:val="1"/>
                <w:sz w:val="24"/>
                <w:szCs w:val="24"/>
                <w:rtl w:val="0"/>
              </w:rPr>
              <w:t xml:space="preserve">Valor: </w:t>
            </w:r>
            <w:r w:rsidDel="00000000" w:rsidR="00000000" w:rsidRPr="00000000">
              <w:rPr>
                <w:sz w:val="24"/>
                <w:szCs w:val="24"/>
                <w:rtl w:val="0"/>
              </w:rPr>
              <w:t xml:space="preserve">Permite evitar diagnósticos erróneos de crisis uniforme y reconocer un sector clave que sostiene la actividad y la infraestructura, fundamental para diseñar políticas industriales diferenciadas.</w:t>
            </w:r>
          </w:p>
          <w:p w:rsidR="00000000" w:rsidDel="00000000" w:rsidP="00000000" w:rsidRDefault="00000000" w:rsidRPr="00000000" w14:paraId="00000036">
            <w:pPr>
              <w:pStyle w:val="Heading3"/>
              <w:keepNext w:val="0"/>
              <w:keepLines w:val="0"/>
              <w:spacing w:before="280" w:lineRule="auto"/>
              <w:rPr>
                <w:b w:val="1"/>
                <w:bCs w:val="1"/>
                <w:color w:val="000000"/>
                <w:sz w:val="24"/>
                <w:szCs w:val="24"/>
              </w:rPr>
            </w:pPr>
            <w:bookmarkStart w:colFirst="0" w:colLast="0" w:name="_heading=h.i0mmcocda6dp" w:id="3"/>
            <w:bookmarkEnd w:id="3"/>
            <w:r w:rsidDel="00000000" w:rsidR="00000000" w:rsidRPr="00000000">
              <w:rPr>
                <w:b w:val="1"/>
                <w:bCs w:val="1"/>
                <w:color w:val="000000"/>
                <w:sz w:val="24"/>
                <w:szCs w:val="24"/>
                <w:rtl w:val="0"/>
              </w:rPr>
              <w:t xml:space="preserve">Insight 2</w:t>
            </w:r>
          </w:p>
          <w:p w:rsidR="00000000" w:rsidDel="00000000" w:rsidP="00000000" w:rsidRDefault="00000000" w:rsidRPr="00000000" w14:paraId="00000037">
            <w:pPr>
              <w:numPr>
                <w:ilvl w:val="0"/>
                <w:numId w:val="3"/>
              </w:numPr>
              <w:spacing w:after="0" w:afterAutospacing="0" w:line="240" w:lineRule="auto"/>
              <w:ind w:left="720" w:hanging="360"/>
              <w:rPr>
                <w:b w:val="1"/>
                <w:bCs w:val="1"/>
                <w:sz w:val="24"/>
                <w:szCs w:val="24"/>
              </w:rPr>
            </w:pPr>
            <w:r w:rsidDel="00000000" w:rsidR="00000000" w:rsidRPr="00000000">
              <w:rPr>
                <w:b w:val="1"/>
                <w:bCs w:val="1"/>
                <w:sz w:val="24"/>
                <w:szCs w:val="24"/>
                <w:rtl w:val="0"/>
              </w:rPr>
              <w:t xml:space="preserve">Gráfico: </w:t>
            </w:r>
            <w:hyperlink r:id="rId12">
              <w:r w:rsidDel="00000000" w:rsidR="00000000" w:rsidRPr="00000000">
                <w:rPr>
                  <w:color w:val="0000ee"/>
                  <w:sz w:val="24"/>
                  <w:szCs w:val="24"/>
                  <w:u w:val="single"/>
                  <w:rtl w:val="0"/>
                </w:rPr>
                <w:t xml:space="preserve">P2 — Perfiles IPI + UCII + Exportaciones.gif</w:t>
              </w:r>
            </w:hyperlink>
            <w:r w:rsidDel="00000000" w:rsidR="00000000" w:rsidRPr="00000000">
              <w:rPr>
                <w:rtl w:val="0"/>
              </w:rPr>
            </w:r>
          </w:p>
          <w:p w:rsidR="00000000" w:rsidDel="00000000" w:rsidP="00000000" w:rsidRDefault="00000000" w:rsidRPr="00000000" w14:paraId="00000038">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Insight (Conocimiento profundo): </w:t>
            </w:r>
            <w:r w:rsidDel="00000000" w:rsidR="00000000" w:rsidRPr="00000000">
              <w:rPr>
                <w:sz w:val="24"/>
                <w:szCs w:val="24"/>
                <w:rtl w:val="0"/>
              </w:rPr>
              <w:t xml:space="preserve">El entramado industrial argentino se segmenta en tres perfiles productivos claramente diferenciados: motores con alta producción y exportaciones, sectores intensivos en capacidad con buen desempeño externo, y ramas rezagadas con bajos registros en todas las variables.</w:t>
            </w:r>
          </w:p>
          <w:p w:rsidR="00000000" w:rsidDel="00000000" w:rsidP="00000000" w:rsidRDefault="00000000" w:rsidRPr="00000000" w14:paraId="00000039">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Hallazgo: </w:t>
            </w:r>
            <w:r w:rsidDel="00000000" w:rsidR="00000000" w:rsidRPr="00000000">
              <w:rPr>
                <w:sz w:val="24"/>
                <w:szCs w:val="24"/>
                <w:rtl w:val="0"/>
              </w:rPr>
              <w:t xml:space="preserve">El análisis de dispersión evidencia asimetrías operativas y de inserción externa, mostrando que el mapa industrial no es homogéneo sino fragmentado en tres grupos.</w:t>
            </w:r>
          </w:p>
          <w:p w:rsidR="00000000" w:rsidDel="00000000" w:rsidP="00000000" w:rsidRDefault="00000000" w:rsidRPr="00000000" w14:paraId="0000003A">
            <w:pPr>
              <w:numPr>
                <w:ilvl w:val="0"/>
                <w:numId w:val="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Valor: </w:t>
            </w:r>
            <w:r w:rsidDel="00000000" w:rsidR="00000000" w:rsidRPr="00000000">
              <w:rPr>
                <w:sz w:val="24"/>
                <w:szCs w:val="24"/>
                <w:rtl w:val="0"/>
              </w:rPr>
              <w:t xml:space="preserve">Facilita el diseño de políticas específicas y evita incentivos uniformes que ignoren la heterogeneidad estructural, mejorando la efectividad de las estrategias de desarrollo.</w:t>
            </w:r>
          </w:p>
          <w:p w:rsidR="00000000" w:rsidDel="00000000" w:rsidP="00000000" w:rsidRDefault="00000000" w:rsidRPr="00000000" w14:paraId="0000003B">
            <w:pPr>
              <w:pStyle w:val="Heading3"/>
              <w:keepNext w:val="0"/>
              <w:keepLines w:val="0"/>
              <w:spacing w:before="280" w:lineRule="auto"/>
              <w:rPr>
                <w:b w:val="1"/>
                <w:bCs w:val="1"/>
                <w:color w:val="000000"/>
                <w:sz w:val="24"/>
                <w:szCs w:val="24"/>
              </w:rPr>
            </w:pPr>
            <w:bookmarkStart w:colFirst="0" w:colLast="0" w:name="_heading=h.mmd3q1gt6uxz" w:id="4"/>
            <w:bookmarkEnd w:id="4"/>
            <w:r w:rsidDel="00000000" w:rsidR="00000000" w:rsidRPr="00000000">
              <w:rPr>
                <w:b w:val="1"/>
                <w:bCs w:val="1"/>
                <w:color w:val="000000"/>
                <w:sz w:val="24"/>
                <w:szCs w:val="24"/>
                <w:rtl w:val="0"/>
              </w:rPr>
              <w:t xml:space="preserve">Insight 3</w:t>
            </w:r>
          </w:p>
          <w:p w:rsidR="00000000" w:rsidDel="00000000" w:rsidP="00000000" w:rsidRDefault="00000000" w:rsidRPr="00000000" w14:paraId="0000003C">
            <w:pPr>
              <w:numPr>
                <w:ilvl w:val="0"/>
                <w:numId w:val="5"/>
              </w:numPr>
              <w:spacing w:after="0" w:afterAutospacing="0" w:line="240" w:lineRule="auto"/>
              <w:ind w:left="720" w:hanging="360"/>
              <w:rPr>
                <w:b w:val="1"/>
                <w:bCs w:val="1"/>
                <w:sz w:val="24"/>
                <w:szCs w:val="24"/>
              </w:rPr>
            </w:pPr>
            <w:r w:rsidDel="00000000" w:rsidR="00000000" w:rsidRPr="00000000">
              <w:rPr>
                <w:b w:val="1"/>
                <w:bCs w:val="1"/>
                <w:sz w:val="24"/>
                <w:szCs w:val="24"/>
                <w:rtl w:val="0"/>
              </w:rPr>
              <w:t xml:space="preserve">Gráfico: </w:t>
            </w:r>
            <w:hyperlink r:id="rId13">
              <w:r w:rsidDel="00000000" w:rsidR="00000000" w:rsidRPr="00000000">
                <w:rPr>
                  <w:color w:val="0000ee"/>
                  <w:sz w:val="24"/>
                  <w:szCs w:val="24"/>
                  <w:u w:val="single"/>
                  <w:rtl w:val="0"/>
                </w:rPr>
                <w:t xml:space="preserve">P3 — Eficiencia IPIUCII + exportaciones.png</w:t>
              </w:r>
            </w:hyperlink>
            <w:r w:rsidDel="00000000" w:rsidR="00000000" w:rsidRPr="00000000">
              <w:rPr>
                <w:rtl w:val="0"/>
              </w:rPr>
            </w:r>
          </w:p>
          <w:p w:rsidR="00000000" w:rsidDel="00000000" w:rsidP="00000000" w:rsidRDefault="00000000" w:rsidRPr="00000000" w14:paraId="0000003D">
            <w:pPr>
              <w:numPr>
                <w:ilvl w:val="0"/>
                <w:numId w:val="5"/>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Insight (Conocimiento profundo): </w:t>
            </w:r>
            <w:r w:rsidDel="00000000" w:rsidR="00000000" w:rsidRPr="00000000">
              <w:rPr>
                <w:sz w:val="24"/>
                <w:szCs w:val="24"/>
                <w:rtl w:val="0"/>
              </w:rPr>
              <w:t xml:space="preserve">La evaluación cruzada de eficiencia productiva y exportaciones permite clasificar sectores en motores de la economía, un caso de disociación operativa (Refinación), y ramas rezagadas.</w:t>
            </w:r>
          </w:p>
          <w:p w:rsidR="00000000" w:rsidDel="00000000" w:rsidP="00000000" w:rsidRDefault="00000000" w:rsidRPr="00000000" w14:paraId="0000003E">
            <w:pPr>
              <w:numPr>
                <w:ilvl w:val="0"/>
                <w:numId w:val="5"/>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Hallazgo: </w:t>
            </w:r>
            <w:r w:rsidDel="00000000" w:rsidR="00000000" w:rsidRPr="00000000">
              <w:rPr>
                <w:sz w:val="24"/>
                <w:szCs w:val="24"/>
                <w:rtl w:val="0"/>
              </w:rPr>
              <w:t xml:space="preserve">Se revela que Refinación de Petróleo, pese a su aporte exportador, presenta baja eficiencia técnica por operar al límite de su capacidad instalada, requiriendo inversión en infraestructura.</w:t>
            </w:r>
          </w:p>
          <w:p w:rsidR="00000000" w:rsidDel="00000000" w:rsidP="00000000" w:rsidRDefault="00000000" w:rsidRPr="00000000" w14:paraId="0000003F">
            <w:pPr>
              <w:numPr>
                <w:ilvl w:val="0"/>
                <w:numId w:val="5"/>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Valor: </w:t>
            </w:r>
            <w:r w:rsidDel="00000000" w:rsidR="00000000" w:rsidRPr="00000000">
              <w:rPr>
                <w:sz w:val="24"/>
                <w:szCs w:val="24"/>
                <w:rtl w:val="0"/>
              </w:rPr>
              <w:t xml:space="preserve">Aporta evidencia directa sobre limitantes físicas del aparato productivo y orienta la priorización de recursos: inversión en bienes de capital para Refinación, impulso a sectores motores y planes de contingencia para los rezagados.</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9"/>
        </w:numPr>
        <w:spacing w:after="240" w:before="240" w:lineRule="auto"/>
        <w:ind w:left="720" w:hanging="360"/>
        <w:rPr>
          <w:b w:val="1"/>
          <w:bCs w:val="1"/>
          <w:sz w:val="24"/>
          <w:szCs w:val="24"/>
        </w:rPr>
      </w:pPr>
      <w:r w:rsidDel="00000000" w:rsidR="00000000" w:rsidRPr="00000000">
        <w:rPr>
          <w:b w:val="1"/>
          <w:bCs w:val="1"/>
          <w:sz w:val="24"/>
          <w:szCs w:val="24"/>
          <w:rtl w:val="0"/>
        </w:rPr>
        <w:t xml:space="preserve">DISCUSIÓN DEL ANÁLISIS</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4"/>
                <w:szCs w:val="24"/>
              </w:rPr>
            </w:pPr>
            <w:r w:rsidDel="00000000" w:rsidR="00000000" w:rsidRPr="00000000">
              <w:rPr>
                <w:b w:val="1"/>
                <w:bCs w:val="1"/>
                <w:sz w:val="24"/>
                <w:szCs w:val="24"/>
                <w:rtl w:val="0"/>
              </w:rPr>
              <w:t xml:space="preserve">A partir de los insights, se puede observar que:</w:t>
            </w:r>
            <w:r w:rsidDel="00000000" w:rsidR="00000000" w:rsidRPr="00000000">
              <w:rPr>
                <w:sz w:val="24"/>
                <w:szCs w:val="24"/>
                <w:rtl w:val="0"/>
              </w:rPr>
              <w:t xml:space="preserve">  </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La estructura manufacturera argentina exhibe una fragmentación técnica y de mercado.</w:t>
            </w:r>
          </w:p>
          <w:p w:rsidR="00000000" w:rsidDel="00000000" w:rsidP="00000000" w:rsidRDefault="00000000" w:rsidRPr="00000000" w14:paraId="00000044">
            <w:pPr>
              <w:spacing w:after="240" w:before="240" w:lineRule="auto"/>
              <w:rPr>
                <w:b w:val="1"/>
                <w:bCs w:val="1"/>
                <w:sz w:val="24"/>
                <w:szCs w:val="24"/>
              </w:rPr>
            </w:pPr>
            <w:r w:rsidDel="00000000" w:rsidR="00000000" w:rsidRPr="00000000">
              <w:rPr>
                <w:b w:val="1"/>
                <w:bCs w:val="1"/>
                <w:sz w:val="24"/>
                <w:szCs w:val="24"/>
                <w:rtl w:val="0"/>
              </w:rPr>
              <w:t xml:space="preserve">Los resultados muestran que: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Coexisten</w:t>
            </w:r>
            <w:r w:rsidDel="00000000" w:rsidR="00000000" w:rsidRPr="00000000">
              <w:rPr>
                <w:sz w:val="24"/>
                <w:szCs w:val="24"/>
                <w:rtl w:val="0"/>
              </w:rPr>
              <w:t xml:space="preserve"> sectores dinámicos (como Alimentos y bebidas, Automotriz y Productos químicos) que tienen alta eficiencia en simultáneo con un elevado volumen de exportaciones, frente a complejos de proceso continuo, específicamente Refinación de petróleo, que registra los máximos niveles de utilización de la capacidad instalada (UCII máxima) y destacadas exportaciones pero encuentran un límite en el escalonamiento de su producción física. Por último, se identifica un bloque de sectores rezagados (Productos textiles, Productos de tabaco y Productos de caucho y plástico) que se posiciona de manera estática en el cuadrante inferior izquierdo del tablero, manifestando un comportamiento contractivo y homogéneo con registros bajos en todas las variables analizadas.</w:t>
            </w:r>
            <w:r w:rsidDel="00000000" w:rsidR="00000000" w:rsidRPr="00000000">
              <w:rPr>
                <w:sz w:val="24"/>
                <w:szCs w:val="24"/>
                <w:rtl w:val="0"/>
              </w:rPr>
              <w:t xml:space="preserve"> </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8"/>
        </w:numPr>
        <w:spacing w:after="240" w:before="240" w:lineRule="auto"/>
        <w:ind w:left="720" w:hanging="360"/>
        <w:rPr>
          <w:b w:val="1"/>
          <w:bCs w:val="1"/>
          <w:sz w:val="24"/>
          <w:szCs w:val="24"/>
        </w:rPr>
      </w:pPr>
      <w:r w:rsidDel="00000000" w:rsidR="00000000" w:rsidRPr="00000000">
        <w:rPr>
          <w:b w:val="1"/>
          <w:bCs w:val="1"/>
          <w:sz w:val="24"/>
          <w:szCs w:val="24"/>
          <w:rtl w:val="0"/>
        </w:rPr>
        <w:t xml:space="preserve">LIMITACIONES</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b w:val="1"/>
                <w:bCs w:val="1"/>
                <w:sz w:val="24"/>
                <w:szCs w:val="24"/>
              </w:rPr>
            </w:pPr>
            <w:r w:rsidDel="00000000" w:rsidR="00000000" w:rsidRPr="00000000">
              <w:rPr>
                <w:b w:val="1"/>
                <w:bCs w:val="1"/>
                <w:sz w:val="24"/>
                <w:szCs w:val="24"/>
                <w:rtl w:val="0"/>
              </w:rPr>
              <w:t xml:space="preserve">Durante el análisis se identificaron las siguientes limitaciones:</w:t>
            </w:r>
          </w:p>
          <w:p w:rsidR="00000000" w:rsidDel="00000000" w:rsidP="00000000" w:rsidRDefault="00000000" w:rsidRPr="00000000" w14:paraId="00000049">
            <w:pPr>
              <w:numPr>
                <w:ilvl w:val="0"/>
                <w:numId w:val="15"/>
              </w:numPr>
              <w:spacing w:after="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numPr>
                <w:ilvl w:val="0"/>
                <w:numId w:val="15"/>
              </w:numPr>
              <w:spacing w:after="240" w:before="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4"/>
        </w:numPr>
        <w:spacing w:after="240" w:before="240" w:lineRule="auto"/>
        <w:ind w:left="720" w:hanging="360"/>
        <w:rPr>
          <w:b w:val="1"/>
          <w:bCs w:val="1"/>
          <w:sz w:val="24"/>
          <w:szCs w:val="24"/>
        </w:rPr>
      </w:pPr>
      <w:r w:rsidDel="00000000" w:rsidR="00000000" w:rsidRPr="00000000">
        <w:rPr>
          <w:b w:val="1"/>
          <w:bCs w:val="1"/>
          <w:sz w:val="24"/>
          <w:szCs w:val="24"/>
          <w:rtl w:val="0"/>
        </w:rPr>
        <w:t xml:space="preserve">CONCLUSIONES</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sz w:val="24"/>
                <w:szCs w:val="24"/>
              </w:rPr>
            </w:pPr>
            <w:r w:rsidDel="00000000" w:rsidR="00000000" w:rsidRPr="00000000">
              <w:rPr>
                <w:b w:val="1"/>
                <w:bCs w:val="1"/>
                <w:sz w:val="24"/>
                <w:szCs w:val="24"/>
                <w:rtl w:val="0"/>
              </w:rPr>
              <w:t xml:space="preserve">A partir del análisis realizado, se concluye que: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El aparato industrial argentino carece de una dinámica uniforme, estructurándose en tres perfiles con realidades y necesidades operativas disímiles. La potencialidad para dinamizar la actividad manufacturera económica está concentrada en el bloque dinámico de Alimentos, Automotriz y Química, mientras que el sector de Refinación de Petróleo requiere inversiones para la ampliación de infraestructura de capital fijo al haber saturado su capacidad instalada (UCII máxima).</w:t>
            </w:r>
          </w:p>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tl w:val="0"/>
              </w:rPr>
              <w:t xml:space="preserve">Este trabajo permite comprender:</w:t>
            </w:r>
          </w:p>
          <w:p w:rsidR="00000000" w:rsidDel="00000000" w:rsidP="00000000" w:rsidRDefault="00000000" w:rsidRPr="00000000" w14:paraId="00000050">
            <w:pPr>
              <w:spacing w:after="240" w:before="240" w:lineRule="auto"/>
              <w:rPr/>
            </w:pPr>
            <w:r w:rsidDel="00000000" w:rsidR="00000000" w:rsidRPr="00000000">
              <w:rPr>
                <w:sz w:val="24"/>
                <w:szCs w:val="24"/>
                <w:rtl w:val="0"/>
              </w:rPr>
              <w:t xml:space="preserve">Que para estabilizar y potenciar la producción industrial, resulta necesario diseñar estrategias diferenciadas que atiendan la rigidez estructural del bloque energético y rescaten del estancamiento contractivo a los sectores industriales tradicionales.</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ceUdDR2SY6xOIhMtWppVGkIxhtrtaLYV" TargetMode="External"/><Relationship Id="rId10" Type="http://schemas.openxmlformats.org/officeDocument/2006/relationships/hyperlink" Target="https://docs.google.com/spreadsheets/d/1cg2aypCzopuoI2op8CI5odgggjAmYCdR/edit?usp=sharing&amp;ouid=114924509028992186684&amp;rtpof=true&amp;sd=true" TargetMode="External"/><Relationship Id="rId13" Type="http://schemas.openxmlformats.org/officeDocument/2006/relationships/hyperlink" Target="https://drive.google.com/open?id=1wY4TcOAe_SRW9cLP9bvZKtjUsLmxx-kn" TargetMode="External"/><Relationship Id="rId12" Type="http://schemas.openxmlformats.org/officeDocument/2006/relationships/hyperlink" Target="https://drive.google.com/open?id=1H8k3udu3uAckuGz0C_SYPAqdnO7kSGi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VJUQqrG3yFVsYJHV7pa7ne79sUGZK8qg/edit?usp=drive_link&amp;ouid=105776986819378660239&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GhW-WHTBdXuSbk8RdZ9SuwdPIylhcn1d/view?usp=drive_link" TargetMode="External"/><Relationship Id="rId8" Type="http://schemas.openxmlformats.org/officeDocument/2006/relationships/hyperlink" Target="https://docs.google.com/spreadsheets/d/1zPTu9LyVAzjlVpq3psHCsHdNUnaWIHH-/edit?usp=drive_link&amp;ouid=10577698681937866023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PNLkz/jWEt4jsBmSOnnC1ipIQ==">CgMxLjAyDmgub29jNDJiZHQ1dWVnMg5oLm14ODFjbWVrdTZ1ZjIOaC56aG83MGg1dmM0d2YyDmguaTBtbWNvY2RhNmRwMg5oLm1tZDNxMWd0NnV4ejgAciExcU55ZTFxXzJPSHNUc2FwTW41a05yU3dPdGlHVTRNVVQ=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