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2">
      <w:pPr>
        <w:spacing w:after="200" w:lineRule="auto"/>
        <w:jc w:val="center"/>
        <w:rPr>
          <w:rFonts w:ascii="Calibri" w:cs="Calibri" w:eastAsia="Calibri" w:hAnsi="Calibri"/>
          <w:b w:val="1"/>
          <w:bCs w:val="1"/>
          <w:sz w:val="38"/>
          <w:szCs w:val="38"/>
        </w:rPr>
      </w:pPr>
      <w:r w:rsidDel="00000000" w:rsidR="00000000" w:rsidRPr="00000000">
        <w:rPr>
          <w:rFonts w:ascii="Calibri" w:cs="Calibri" w:eastAsia="Calibri" w:hAnsi="Calibri"/>
          <w:b w:val="1"/>
          <w:bCs w:val="1"/>
          <w:sz w:val="38"/>
          <w:szCs w:val="38"/>
          <w:rtl w:val="0"/>
        </w:rPr>
        <w:t xml:space="preserve">ANÁLISIS EXPLORATORIO DE DATOS INICIAL</w:t>
      </w:r>
    </w:p>
    <w:p w:rsidR="00000000" w:rsidDel="00000000" w:rsidP="00000000" w:rsidRDefault="00000000" w:rsidRPr="00000000" w14:paraId="00000003">
      <w:pPr>
        <w:spacing w:after="200" w:lineRule="auto"/>
        <w:jc w:val="center"/>
        <w:rPr>
          <w:rFonts w:ascii="Calibri" w:cs="Calibri" w:eastAsia="Calibri" w:hAnsi="Calibri"/>
          <w:b w:val="1"/>
          <w:bCs w:val="1"/>
          <w:sz w:val="38"/>
          <w:szCs w:val="38"/>
        </w:rPr>
      </w:pPr>
      <w:r w:rsidDel="00000000" w:rsidR="00000000" w:rsidRPr="00000000">
        <w:rPr>
          <w:rFonts w:ascii="Calibri" w:cs="Calibri" w:eastAsia="Calibri" w:hAnsi="Calibri"/>
          <w:b w:val="1"/>
          <w:bCs w:val="1"/>
          <w:sz w:val="38"/>
          <w:szCs w:val="38"/>
          <w:rtl w:val="0"/>
        </w:rPr>
        <w:t xml:space="preserve">Sprint 1</w:t>
      </w:r>
    </w:p>
    <w:p w:rsidR="00000000" w:rsidDel="00000000" w:rsidP="00000000" w:rsidRDefault="00000000" w:rsidRPr="00000000" w14:paraId="00000004">
      <w:pPr>
        <w:spacing w:after="2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5">
      <w:pPr>
        <w:spacing w:after="200"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Proyecto: Identificación de Polos de Alta Productividad</w:t>
      </w:r>
    </w:p>
    <w:p w:rsidR="00000000" w:rsidDel="00000000" w:rsidP="00000000" w:rsidRDefault="00000000" w:rsidRPr="00000000" w14:paraId="00000006">
      <w:pPr>
        <w:spacing w:after="200"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y Sectores en Reconversión mediante Clustering</w:t>
      </w:r>
    </w:p>
    <w:p w:rsidR="00000000" w:rsidDel="00000000" w:rsidP="00000000" w:rsidRDefault="00000000" w:rsidRPr="00000000" w14:paraId="00000007">
      <w:pPr>
        <w:spacing w:after="200"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w:t>
      </w:r>
    </w:p>
    <w:p w:rsidR="00000000" w:rsidDel="00000000" w:rsidP="00000000" w:rsidRDefault="00000000" w:rsidRPr="00000000" w14:paraId="00000008">
      <w:pPr>
        <w:spacing w:after="200"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9">
      <w:pPr>
        <w:spacing w:after="200"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Equipo Nro. 3  |  Tecnicatura Superior en Ciencia de Datos e IA</w:t>
      </w:r>
    </w:p>
    <w:p w:rsidR="00000000" w:rsidDel="00000000" w:rsidP="00000000" w:rsidRDefault="00000000" w:rsidRPr="00000000" w14:paraId="0000000A">
      <w:pPr>
        <w:spacing w:after="200"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Fecha: 10/05/2026</w:t>
      </w:r>
    </w:p>
    <w:p w:rsidR="00000000" w:rsidDel="00000000" w:rsidP="00000000" w:rsidRDefault="00000000" w:rsidRPr="00000000" w14:paraId="0000000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D">
      <w:pPr>
        <w:spacing w:after="20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Introducción</w:t>
      </w:r>
    </w:p>
    <w:p w:rsidR="00000000" w:rsidDel="00000000" w:rsidP="00000000" w:rsidRDefault="00000000" w:rsidRPr="00000000" w14:paraId="0000000E">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documento corresponde al Análisis Exploratorio de Datos (EDA) inicial del Sprint 1. El objetivo es caracterizar los datasets disponibles: registrar su estructura, tipos de variables, calidad de datos (nulos, vacíos, inconsistencias) y obtener observaciones preliminares que orienten el trabajo de los próximos sprints.</w:t>
      </w:r>
    </w:p>
    <w:p w:rsidR="00000000" w:rsidDel="00000000" w:rsidP="00000000" w:rsidRDefault="00000000" w:rsidRPr="00000000" w14:paraId="0000000F">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0">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Pregunta de investigación: ¿Qué perfiles de comportamiento productivo emergen de la relación entre el IPI, la UCII y las exportaciones en los sectores de la industria manufacturera argentina durante el período 2021-2026?</w:t>
      </w:r>
    </w:p>
    <w:p w:rsidR="00000000" w:rsidDel="00000000" w:rsidP="00000000" w:rsidRDefault="00000000" w:rsidRPr="00000000" w14:paraId="00000011">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2">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Datasets analizados:</w:t>
      </w:r>
    </w:p>
    <w:p w:rsidR="00000000" w:rsidDel="00000000" w:rsidP="00000000" w:rsidRDefault="00000000" w:rsidRPr="00000000" w14:paraId="00000013">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IPI Manufacturero  —  INDEC.</w:t>
      </w:r>
    </w:p>
    <w:p w:rsidR="00000000" w:rsidDel="00000000" w:rsidP="00000000" w:rsidRDefault="00000000" w:rsidRPr="00000000" w14:paraId="00000014">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UCII (Utilización de Capacidad Instalada Industrial) —  INDEC.</w:t>
      </w:r>
    </w:p>
    <w:p w:rsidR="00000000" w:rsidDel="00000000" w:rsidP="00000000" w:rsidRDefault="00000000" w:rsidRPr="00000000" w14:paraId="00000015">
      <w:pPr>
        <w:numPr>
          <w:ilvl w:val="0"/>
          <w:numId w:val="3"/>
        </w:numPr>
        <w:spacing w:after="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Exportaciones (tendencia general) — ICA/INDEC  (desglose por sector industrial: pendiente Sprint 2).</w:t>
      </w:r>
      <w:r w:rsidDel="00000000" w:rsidR="00000000" w:rsidRPr="00000000">
        <w:rPr>
          <w:rtl w:val="0"/>
        </w:rPr>
      </w:r>
    </w:p>
    <w:p w:rsidR="00000000" w:rsidDel="00000000" w:rsidP="00000000" w:rsidRDefault="00000000" w:rsidRPr="00000000" w14:paraId="0000001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8">
      <w:pPr>
        <w:pStyle w:val="Heading1"/>
        <w:keepNext w:val="0"/>
        <w:keepLines w:val="0"/>
        <w:spacing w:before="480" w:lineRule="auto"/>
        <w:jc w:val="both"/>
        <w:rPr>
          <w:rFonts w:ascii="Calibri" w:cs="Calibri" w:eastAsia="Calibri" w:hAnsi="Calibri"/>
          <w:b w:val="1"/>
          <w:bCs w:val="1"/>
          <w:sz w:val="24"/>
          <w:szCs w:val="24"/>
        </w:rPr>
      </w:pPr>
      <w:bookmarkStart w:colFirst="0" w:colLast="0" w:name="_heading=h.1e0cznjbl5ka" w:id="0"/>
      <w:bookmarkEnd w:id="0"/>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spacing w:before="480" w:line="240" w:lineRule="auto"/>
        <w:jc w:val="both"/>
        <w:rPr>
          <w:rFonts w:ascii="Calibri" w:cs="Calibri" w:eastAsia="Calibri" w:hAnsi="Calibri"/>
          <w:b w:val="1"/>
          <w:bCs w:val="1"/>
          <w:sz w:val="24"/>
          <w:szCs w:val="24"/>
        </w:rPr>
      </w:pPr>
      <w:bookmarkStart w:colFirst="0" w:colLast="0" w:name="_heading=h.i56ys9g6w1p6" w:id="1"/>
      <w:bookmarkEnd w:id="1"/>
      <w:r w:rsidDel="00000000" w:rsidR="00000000" w:rsidRPr="00000000">
        <w:rPr>
          <w:rFonts w:ascii="Calibri" w:cs="Calibri" w:eastAsia="Calibri" w:hAnsi="Calibri"/>
          <w:b w:val="1"/>
          <w:bCs w:val="1"/>
          <w:sz w:val="24"/>
          <w:szCs w:val="24"/>
          <w:rtl w:val="0"/>
        </w:rPr>
        <w:t xml:space="preserve">Dataset 1  —  IPI Manufacturero (INDEC)</w:t>
      </w:r>
    </w:p>
    <w:p w:rsidR="00000000" w:rsidDel="00000000" w:rsidP="00000000" w:rsidRDefault="00000000" w:rsidRPr="00000000" w14:paraId="0000001A">
      <w:pPr>
        <w:pStyle w:val="Heading2"/>
        <w:keepNext w:val="0"/>
        <w:keepLines w:val="0"/>
        <w:spacing w:after="80" w:line="240" w:lineRule="auto"/>
        <w:jc w:val="both"/>
        <w:rPr>
          <w:rFonts w:ascii="Calibri" w:cs="Calibri" w:eastAsia="Calibri" w:hAnsi="Calibri"/>
          <w:b w:val="1"/>
          <w:bCs w:val="1"/>
          <w:sz w:val="24"/>
          <w:szCs w:val="24"/>
        </w:rPr>
      </w:pPr>
      <w:bookmarkStart w:colFirst="0" w:colLast="0" w:name="_heading=h.j4mxmgbrj9ar" w:id="2"/>
      <w:bookmarkEnd w:id="2"/>
      <w:r w:rsidDel="00000000" w:rsidR="00000000" w:rsidRPr="00000000">
        <w:rPr>
          <w:rFonts w:ascii="Calibri" w:cs="Calibri" w:eastAsia="Calibri" w:hAnsi="Calibri"/>
          <w:b w:val="1"/>
          <w:bCs w:val="1"/>
          <w:sz w:val="24"/>
          <w:szCs w:val="24"/>
          <w:rtl w:val="0"/>
        </w:rPr>
        <w:t xml:space="preserve">Información del dataset</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580"/>
        <w:tblGridChange w:id="0">
          <w:tblGrid>
            <w:gridCol w:w="3360"/>
            <w:gridCol w:w="558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1f497d" w:val="clear"/>
            <w:tcMar>
              <w:top w:w="0.0" w:type="dxa"/>
              <w:left w:w="100.0" w:type="dxa"/>
              <w:bottom w:w="0.0" w:type="dxa"/>
              <w:right w:w="100.0" w:type="dxa"/>
            </w:tcMar>
            <w:vAlign w:val="top"/>
          </w:tcPr>
          <w:p w:rsidR="00000000" w:rsidDel="00000000" w:rsidP="00000000" w:rsidRDefault="00000000" w:rsidRPr="00000000" w14:paraId="0000001B">
            <w:pPr>
              <w:spacing w:line="276"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Atributo</w:t>
            </w:r>
          </w:p>
        </w:tc>
        <w:tc>
          <w:tcPr>
            <w:tcBorders>
              <w:top w:color="000000" w:space="0" w:sz="5" w:val="single"/>
              <w:left w:color="000000" w:space="0" w:sz="0" w:val="nil"/>
              <w:bottom w:color="000000" w:space="0" w:sz="5" w:val="single"/>
              <w:right w:color="000000" w:space="0" w:sz="5" w:val="single"/>
            </w:tcBorders>
            <w:shd w:fill="1f497d" w:val="clear"/>
            <w:tcMar>
              <w:top w:w="0.0" w:type="dxa"/>
              <w:left w:w="100.0" w:type="dxa"/>
              <w:bottom w:w="0.0" w:type="dxa"/>
              <w:right w:w="100.0" w:type="dxa"/>
            </w:tcMar>
            <w:vAlign w:val="top"/>
          </w:tcPr>
          <w:p w:rsidR="00000000" w:rsidDel="00000000" w:rsidP="00000000" w:rsidRDefault="00000000" w:rsidRPr="00000000" w14:paraId="0000001C">
            <w:pPr>
              <w:spacing w:line="276"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Valor</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deeaf1" w:val="clear"/>
            <w:tcMar>
              <w:top w:w="0.0" w:type="dxa"/>
              <w:left w:w="100.0" w:type="dxa"/>
              <w:bottom w:w="0.0" w:type="dxa"/>
              <w:right w:w="100.0" w:type="dxa"/>
            </w:tcMar>
            <w:vAlign w:val="top"/>
          </w:tcPr>
          <w:p w:rsidR="00000000" w:rsidDel="00000000" w:rsidP="00000000" w:rsidRDefault="00000000" w:rsidRPr="00000000" w14:paraId="0000001D">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Dataset</w:t>
            </w:r>
          </w:p>
        </w:tc>
        <w:tc>
          <w:tcPr>
            <w:tcBorders>
              <w:top w:color="000000" w:space="0" w:sz="0" w:val="nil"/>
              <w:left w:color="000000" w:space="0" w:sz="0" w:val="nil"/>
              <w:bottom w:color="000000" w:space="0" w:sz="5" w:val="single"/>
              <w:right w:color="000000" w:space="0" w:sz="5" w:val="single"/>
            </w:tcBorders>
            <w:shd w:fill="deeaf1" w:val="clear"/>
            <w:tcMar>
              <w:top w:w="0.0" w:type="dxa"/>
              <w:left w:w="100.0" w:type="dxa"/>
              <w:bottom w:w="0.0" w:type="dxa"/>
              <w:right w:w="100.0" w:type="dxa"/>
            </w:tcMar>
            <w:vAlign w:val="top"/>
          </w:tcPr>
          <w:p w:rsidR="00000000" w:rsidDel="00000000" w:rsidP="00000000" w:rsidRDefault="00000000" w:rsidRPr="00000000" w14:paraId="0000001E">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IPI Manufacturero — divisiones y subclases CLaNAE 2004</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Instituto Nacional de Estadística y Censos (INDEC)</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deeaf1" w:val="clear"/>
            <w:tcMar>
              <w:top w:w="0.0" w:type="dxa"/>
              <w:left w:w="100.0" w:type="dxa"/>
              <w:bottom w:w="0.0" w:type="dxa"/>
              <w:right w:w="100.0" w:type="dxa"/>
            </w:tcMar>
            <w:vAlign w:val="top"/>
          </w:tcPr>
          <w:p w:rsidR="00000000" w:rsidDel="00000000" w:rsidP="00000000" w:rsidRDefault="00000000" w:rsidRPr="00000000" w14:paraId="00000021">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Archivo</w:t>
            </w:r>
          </w:p>
        </w:tc>
        <w:tc>
          <w:tcPr>
            <w:tcBorders>
              <w:top w:color="000000" w:space="0" w:sz="0" w:val="nil"/>
              <w:left w:color="000000" w:space="0" w:sz="0" w:val="nil"/>
              <w:bottom w:color="000000" w:space="0" w:sz="5" w:val="single"/>
              <w:right w:color="000000" w:space="0" w:sz="5" w:val="single"/>
            </w:tcBorders>
            <w:shd w:fill="deeaf1" w:val="clear"/>
            <w:tcMar>
              <w:top w:w="0.0" w:type="dxa"/>
              <w:left w:w="100.0" w:type="dxa"/>
              <w:bottom w:w="0.0" w:type="dxa"/>
              <w:right w:w="100.0" w:type="dxa"/>
            </w:tcMar>
            <w:vAlign w:val="top"/>
          </w:tcPr>
          <w:p w:rsidR="00000000" w:rsidDel="00000000" w:rsidP="00000000" w:rsidRDefault="00000000" w:rsidRPr="00000000" w14:paraId="00000022">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sh_ipi_manufacturero_2026.xls  —  hoja Cuadro 2</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Registros (filas)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123</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deeaf1" w:val="clear"/>
            <w:tcMar>
              <w:top w:w="0.0" w:type="dxa"/>
              <w:left w:w="100.0" w:type="dxa"/>
              <w:bottom w:w="0.0" w:type="dxa"/>
              <w:right w:w="100.0" w:type="dxa"/>
            </w:tcMar>
            <w:vAlign w:val="top"/>
          </w:tcPr>
          <w:p w:rsidR="00000000" w:rsidDel="00000000" w:rsidP="00000000" w:rsidRDefault="00000000" w:rsidRPr="00000000" w14:paraId="00000025">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Variables (cols.)</w:t>
            </w:r>
          </w:p>
        </w:tc>
        <w:tc>
          <w:tcPr>
            <w:tcBorders>
              <w:top w:color="000000" w:space="0" w:sz="0" w:val="nil"/>
              <w:left w:color="000000" w:space="0" w:sz="0" w:val="nil"/>
              <w:bottom w:color="000000" w:space="0" w:sz="5" w:val="single"/>
              <w:right w:color="000000" w:space="0" w:sz="5" w:val="single"/>
            </w:tcBorders>
            <w:shd w:fill="deeaf1" w:val="clear"/>
            <w:tcMar>
              <w:top w:w="0.0" w:type="dxa"/>
              <w:left w:w="100.0" w:type="dxa"/>
              <w:bottom w:w="0.0" w:type="dxa"/>
              <w:right w:w="100.0" w:type="dxa"/>
            </w:tcMar>
            <w:vAlign w:val="top"/>
          </w:tcPr>
          <w:p w:rsidR="00000000" w:rsidDel="00000000" w:rsidP="00000000" w:rsidRDefault="00000000" w:rsidRPr="00000000" w14:paraId="00000026">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88 (fecha, año, mes  +  85 índices sectoriales)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Periodo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Enero 2016 — marzo 2026</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deeaf1" w:val="clear"/>
            <w:tcMar>
              <w:top w:w="0.0" w:type="dxa"/>
              <w:left w:w="100.0" w:type="dxa"/>
              <w:bottom w:w="0.0" w:type="dxa"/>
              <w:right w:w="100.0" w:type="dxa"/>
            </w:tcMar>
            <w:vAlign w:val="top"/>
          </w:tcPr>
          <w:p w:rsidR="00000000" w:rsidDel="00000000" w:rsidP="00000000" w:rsidRDefault="00000000" w:rsidRPr="00000000" w14:paraId="00000029">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w:t>
            </w:r>
          </w:p>
        </w:tc>
        <w:tc>
          <w:tcPr>
            <w:tcBorders>
              <w:top w:color="000000" w:space="0" w:sz="0" w:val="nil"/>
              <w:left w:color="000000" w:space="0" w:sz="0" w:val="nil"/>
              <w:bottom w:color="000000" w:space="0" w:sz="5" w:val="single"/>
              <w:right w:color="000000" w:space="0" w:sz="5" w:val="single"/>
            </w:tcBorders>
            <w:shd w:fill="deeaf1" w:val="clear"/>
            <w:tcMar>
              <w:top w:w="0.0" w:type="dxa"/>
              <w:left w:w="100.0" w:type="dxa"/>
              <w:bottom w:w="0.0" w:type="dxa"/>
              <w:right w:w="100.0" w:type="dxa"/>
            </w:tcMar>
            <w:vAlign w:val="top"/>
          </w:tcPr>
          <w:p w:rsidR="00000000" w:rsidDel="00000000" w:rsidP="00000000" w:rsidRDefault="00000000" w:rsidRPr="00000000" w14:paraId="0000002A">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Mensual</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Unidad de medida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índice (base 2004 = 100)</w:t>
            </w:r>
          </w:p>
        </w:tc>
      </w:tr>
    </w:tbl>
    <w:p w:rsidR="00000000" w:rsidDel="00000000" w:rsidP="00000000" w:rsidRDefault="00000000" w:rsidRPr="00000000" w14:paraId="0000002D">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E">
      <w:pPr>
        <w:spacing w:after="20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Tipos de variables</w:t>
      </w:r>
    </w:p>
    <w:tbl>
      <w:tblPr>
        <w:tblStyle w:val="Table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845"/>
        <w:gridCol w:w="4710"/>
        <w:tblGridChange w:id="0">
          <w:tblGrid>
            <w:gridCol w:w="2400"/>
            <w:gridCol w:w="1845"/>
            <w:gridCol w:w="471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2e74b5" w:val="clear"/>
            <w:tcMar>
              <w:top w:w="0.0" w:type="dxa"/>
              <w:left w:w="100.0" w:type="dxa"/>
              <w:bottom w:w="0.0" w:type="dxa"/>
              <w:right w:w="100.0" w:type="dxa"/>
            </w:tcMar>
            <w:vAlign w:val="top"/>
          </w:tcPr>
          <w:p w:rsidR="00000000" w:rsidDel="00000000" w:rsidP="00000000" w:rsidRDefault="00000000" w:rsidRPr="00000000" w14:paraId="0000002F">
            <w:pPr>
              <w:spacing w:line="276"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Variable</w:t>
            </w:r>
          </w:p>
        </w:tc>
        <w:tc>
          <w:tcPr>
            <w:tcBorders>
              <w:top w:color="000000" w:space="0" w:sz="5" w:val="single"/>
              <w:left w:color="000000" w:space="0" w:sz="0" w:val="nil"/>
              <w:bottom w:color="000000" w:space="0" w:sz="5" w:val="single"/>
              <w:right w:color="000000" w:space="0" w:sz="5" w:val="single"/>
            </w:tcBorders>
            <w:shd w:fill="2e74b5" w:val="clear"/>
            <w:tcMar>
              <w:top w:w="0.0" w:type="dxa"/>
              <w:left w:w="100.0" w:type="dxa"/>
              <w:bottom w:w="0.0" w:type="dxa"/>
              <w:right w:w="100.0" w:type="dxa"/>
            </w:tcMar>
            <w:vAlign w:val="top"/>
          </w:tcPr>
          <w:p w:rsidR="00000000" w:rsidDel="00000000" w:rsidP="00000000" w:rsidRDefault="00000000" w:rsidRPr="00000000" w14:paraId="00000030">
            <w:pPr>
              <w:spacing w:line="276"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Tipo de dato</w:t>
            </w:r>
          </w:p>
        </w:tc>
        <w:tc>
          <w:tcPr>
            <w:tcBorders>
              <w:top w:color="000000" w:space="0" w:sz="5" w:val="single"/>
              <w:left w:color="000000" w:space="0" w:sz="0" w:val="nil"/>
              <w:bottom w:color="000000" w:space="0" w:sz="5" w:val="single"/>
              <w:right w:color="000000" w:space="0" w:sz="5" w:val="single"/>
            </w:tcBorders>
            <w:shd w:fill="2e74b5" w:val="clear"/>
            <w:tcMar>
              <w:top w:w="0.0" w:type="dxa"/>
              <w:left w:w="100.0" w:type="dxa"/>
              <w:bottom w:w="0.0" w:type="dxa"/>
              <w:right w:w="100.0" w:type="dxa"/>
            </w:tcMar>
            <w:vAlign w:val="top"/>
          </w:tcPr>
          <w:p w:rsidR="00000000" w:rsidDel="00000000" w:rsidP="00000000" w:rsidRDefault="00000000" w:rsidRPr="00000000" w14:paraId="00000031">
            <w:pPr>
              <w:spacing w:line="276"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Descripción</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32">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33">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34">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 día de cada mes (fecha de referencia)</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entero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 de la observación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38">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mes</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39">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Texto</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3A">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mes en español</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IPI Manufacturero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Índice general de producción industrial (base 2004=100)</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3E">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Alimentos y bebidas</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3F">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40">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Índice de producción — división alimentos y bebidas</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Índice de producción — divisiones textiles</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44">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Papel y cartón</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45">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46">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Índice de producción — división papel y cartón</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Refinación del petróleo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Índice de producción — división refinación</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4A">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Sustancias químicas</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4B">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4C">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Índice de producción — división química</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Industria automotriz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Índice de producción — división automotriz</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50">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(79 subclases más)</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51">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5" w:val="single"/>
              <w:right w:color="000000" w:space="0" w:sz="5" w:val="single"/>
            </w:tcBorders>
            <w:shd w:fill="ebf3fb" w:val="clear"/>
            <w:tcMar>
              <w:top w:w="0.0" w:type="dxa"/>
              <w:left w:w="100.0" w:type="dxa"/>
              <w:bottom w:w="0.0" w:type="dxa"/>
              <w:right w:w="100.0" w:type="dxa"/>
            </w:tcMar>
            <w:vAlign w:val="top"/>
          </w:tcPr>
          <w:p w:rsidR="00000000" w:rsidDel="00000000" w:rsidP="00000000" w:rsidRDefault="00000000" w:rsidRPr="00000000" w14:paraId="00000052">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Índice de producción por subclase CLaNAE 2004</w:t>
            </w:r>
          </w:p>
        </w:tc>
      </w:tr>
    </w:tbl>
    <w:p w:rsidR="00000000" w:rsidDel="00000000" w:rsidP="00000000" w:rsidRDefault="00000000" w:rsidRPr="00000000" w14:paraId="00000053">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4">
      <w:pPr>
        <w:spacing w:after="2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spacing w:after="2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20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Calidad de datos - Valores nulos</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190"/>
        <w:gridCol w:w="1470"/>
        <w:gridCol w:w="3030"/>
        <w:tblGridChange w:id="0">
          <w:tblGrid>
            <w:gridCol w:w="2265"/>
            <w:gridCol w:w="2190"/>
            <w:gridCol w:w="1470"/>
            <w:gridCol w:w="303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c00000" w:val="clear"/>
            <w:tcMar>
              <w:top w:w="0.0" w:type="dxa"/>
              <w:left w:w="100.0" w:type="dxa"/>
              <w:bottom w:w="0.0" w:type="dxa"/>
              <w:right w:w="100.0" w:type="dxa"/>
            </w:tcMar>
            <w:vAlign w:val="top"/>
          </w:tcPr>
          <w:p w:rsidR="00000000" w:rsidDel="00000000" w:rsidP="00000000" w:rsidRDefault="00000000" w:rsidRPr="00000000" w14:paraId="00000057">
            <w:pPr>
              <w:spacing w:line="276"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Variable</w:t>
            </w:r>
          </w:p>
        </w:tc>
        <w:tc>
          <w:tcPr>
            <w:tcBorders>
              <w:top w:color="000000" w:space="0" w:sz="5" w:val="single"/>
              <w:left w:color="000000" w:space="0" w:sz="0" w:val="nil"/>
              <w:bottom w:color="000000" w:space="0" w:sz="5" w:val="single"/>
              <w:right w:color="000000" w:space="0" w:sz="5" w:val="single"/>
            </w:tcBorders>
            <w:shd w:fill="c00000" w:val="clear"/>
            <w:tcMar>
              <w:top w:w="0.0" w:type="dxa"/>
              <w:left w:w="100.0" w:type="dxa"/>
              <w:bottom w:w="0.0" w:type="dxa"/>
              <w:right w:w="100.0" w:type="dxa"/>
            </w:tcMar>
            <w:vAlign w:val="top"/>
          </w:tcPr>
          <w:p w:rsidR="00000000" w:rsidDel="00000000" w:rsidP="00000000" w:rsidRDefault="00000000" w:rsidRPr="00000000" w14:paraId="00000058">
            <w:pPr>
              <w:spacing w:line="276"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Nulos / Vacíos</w:t>
            </w:r>
          </w:p>
        </w:tc>
        <w:tc>
          <w:tcPr>
            <w:tcBorders>
              <w:top w:color="000000" w:space="0" w:sz="5" w:val="single"/>
              <w:left w:color="000000" w:space="0" w:sz="0" w:val="nil"/>
              <w:bottom w:color="000000" w:space="0" w:sz="5" w:val="single"/>
              <w:right w:color="000000" w:space="0" w:sz="5" w:val="single"/>
            </w:tcBorders>
            <w:shd w:fill="c00000" w:val="clear"/>
            <w:tcMar>
              <w:top w:w="0.0" w:type="dxa"/>
              <w:left w:w="100.0" w:type="dxa"/>
              <w:bottom w:w="0.0" w:type="dxa"/>
              <w:right w:w="100.0" w:type="dxa"/>
            </w:tcMar>
            <w:vAlign w:val="top"/>
          </w:tcPr>
          <w:p w:rsidR="00000000" w:rsidDel="00000000" w:rsidP="00000000" w:rsidRDefault="00000000" w:rsidRPr="00000000" w14:paraId="00000059">
            <w:pPr>
              <w:spacing w:line="276"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 del total</w:t>
            </w:r>
          </w:p>
        </w:tc>
        <w:tc>
          <w:tcPr>
            <w:tcBorders>
              <w:top w:color="000000" w:space="0" w:sz="5" w:val="single"/>
              <w:left w:color="000000" w:space="0" w:sz="0" w:val="nil"/>
              <w:bottom w:color="000000" w:space="0" w:sz="5" w:val="single"/>
              <w:right w:color="000000" w:space="0" w:sz="5" w:val="single"/>
            </w:tcBorders>
            <w:shd w:fill="c00000" w:val="clear"/>
            <w:tcMar>
              <w:top w:w="0.0" w:type="dxa"/>
              <w:left w:w="100.0" w:type="dxa"/>
              <w:bottom w:w="0.0" w:type="dxa"/>
              <w:right w:w="100.0" w:type="dxa"/>
            </w:tcMar>
            <w:vAlign w:val="top"/>
          </w:tcPr>
          <w:p w:rsidR="00000000" w:rsidDel="00000000" w:rsidP="00000000" w:rsidRDefault="00000000" w:rsidRPr="00000000" w14:paraId="0000005A">
            <w:pPr>
              <w:spacing w:line="276"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Interpretación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ffe7e7" w:val="clear"/>
            <w:tcMar>
              <w:top w:w="0.0" w:type="dxa"/>
              <w:left w:w="100.0" w:type="dxa"/>
              <w:bottom w:w="0.0" w:type="dxa"/>
              <w:right w:w="100.0" w:type="dxa"/>
            </w:tcMar>
            <w:vAlign w:val="top"/>
          </w:tcPr>
          <w:p w:rsidR="00000000" w:rsidDel="00000000" w:rsidP="00000000" w:rsidRDefault="00000000" w:rsidRPr="00000000" w14:paraId="0000005B">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Preparación de hojas de tabaco</w:t>
            </w:r>
          </w:p>
        </w:tc>
        <w:tc>
          <w:tcPr>
            <w:tcBorders>
              <w:top w:color="000000" w:space="0" w:sz="0" w:val="nil"/>
              <w:left w:color="000000" w:space="0" w:sz="0" w:val="nil"/>
              <w:bottom w:color="000000" w:space="0" w:sz="5" w:val="single"/>
              <w:right w:color="000000" w:space="0" w:sz="5" w:val="single"/>
            </w:tcBorders>
            <w:shd w:fill="ffe7e7" w:val="clear"/>
            <w:tcMar>
              <w:top w:w="0.0" w:type="dxa"/>
              <w:left w:w="100.0" w:type="dxa"/>
              <w:bottom w:w="0.0" w:type="dxa"/>
              <w:right w:w="100.0" w:type="dxa"/>
            </w:tcMar>
            <w:vAlign w:val="top"/>
          </w:tcPr>
          <w:p w:rsidR="00000000" w:rsidDel="00000000" w:rsidP="00000000" w:rsidRDefault="00000000" w:rsidRPr="00000000" w14:paraId="0000005C">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43 de 123</w:t>
            </w:r>
          </w:p>
        </w:tc>
        <w:tc>
          <w:tcPr>
            <w:tcBorders>
              <w:top w:color="000000" w:space="0" w:sz="0" w:val="nil"/>
              <w:left w:color="000000" w:space="0" w:sz="0" w:val="nil"/>
              <w:bottom w:color="000000" w:space="0" w:sz="5" w:val="single"/>
              <w:right w:color="000000" w:space="0" w:sz="5" w:val="single"/>
            </w:tcBorders>
            <w:shd w:fill="ffe7e7" w:val="clear"/>
            <w:tcMar>
              <w:top w:w="0.0" w:type="dxa"/>
              <w:left w:w="100.0" w:type="dxa"/>
              <w:bottom w:w="0.0" w:type="dxa"/>
              <w:right w:w="100.0" w:type="dxa"/>
            </w:tcMar>
            <w:vAlign w:val="top"/>
          </w:tcPr>
          <w:p w:rsidR="00000000" w:rsidDel="00000000" w:rsidP="00000000" w:rsidRDefault="00000000" w:rsidRPr="00000000" w14:paraId="0000005D">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35,0%</w:t>
            </w:r>
          </w:p>
        </w:tc>
        <w:tc>
          <w:tcPr>
            <w:tcBorders>
              <w:top w:color="000000" w:space="0" w:sz="0" w:val="nil"/>
              <w:left w:color="000000" w:space="0" w:sz="0" w:val="nil"/>
              <w:bottom w:color="000000" w:space="0" w:sz="5" w:val="single"/>
              <w:right w:color="000000" w:space="0" w:sz="5" w:val="single"/>
            </w:tcBorders>
            <w:shd w:fill="ffe7e7" w:val="clear"/>
            <w:tcMar>
              <w:top w:w="0.0" w:type="dxa"/>
              <w:left w:w="100.0" w:type="dxa"/>
              <w:bottom w:w="0.0" w:type="dxa"/>
              <w:right w:w="100.0" w:type="dxa"/>
            </w:tcMar>
            <w:vAlign w:val="top"/>
          </w:tcPr>
          <w:p w:rsidR="00000000" w:rsidDel="00000000" w:rsidP="00000000" w:rsidRDefault="00000000" w:rsidRPr="00000000" w14:paraId="0000005E">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Serie discontinuada por INDEC a partir de 2019.</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Neumáticos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de 123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Valores faltantes puntuales. Sin impacto relevante.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ffe7e7" w:val="clear"/>
            <w:tcMar>
              <w:top w:w="0.0" w:type="dxa"/>
              <w:left w:w="100.0" w:type="dxa"/>
              <w:bottom w:w="0.0" w:type="dxa"/>
              <w:right w:w="100.0" w:type="dxa"/>
            </w:tcMar>
            <w:vAlign w:val="top"/>
          </w:tcPr>
          <w:p w:rsidR="00000000" w:rsidDel="00000000" w:rsidP="00000000" w:rsidRDefault="00000000" w:rsidRPr="00000000" w14:paraId="00000063">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Otros productos de caucho</w:t>
            </w:r>
          </w:p>
        </w:tc>
        <w:tc>
          <w:tcPr>
            <w:tcBorders>
              <w:top w:color="000000" w:space="0" w:sz="0" w:val="nil"/>
              <w:left w:color="000000" w:space="0" w:sz="0" w:val="nil"/>
              <w:bottom w:color="000000" w:space="0" w:sz="5" w:val="single"/>
              <w:right w:color="000000" w:space="0" w:sz="5" w:val="single"/>
            </w:tcBorders>
            <w:shd w:fill="ffe7e7" w:val="clear"/>
            <w:tcMar>
              <w:top w:w="0.0" w:type="dxa"/>
              <w:left w:w="100.0" w:type="dxa"/>
              <w:bottom w:w="0.0" w:type="dxa"/>
              <w:right w:w="100.0" w:type="dxa"/>
            </w:tcMar>
            <w:vAlign w:val="top"/>
          </w:tcPr>
          <w:p w:rsidR="00000000" w:rsidDel="00000000" w:rsidP="00000000" w:rsidRDefault="00000000" w:rsidRPr="00000000" w14:paraId="00000064">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de 123</w:t>
            </w:r>
          </w:p>
        </w:tc>
        <w:tc>
          <w:tcPr>
            <w:tcBorders>
              <w:top w:color="000000" w:space="0" w:sz="0" w:val="nil"/>
              <w:left w:color="000000" w:space="0" w:sz="0" w:val="nil"/>
              <w:bottom w:color="000000" w:space="0" w:sz="5" w:val="single"/>
              <w:right w:color="000000" w:space="0" w:sz="5" w:val="single"/>
            </w:tcBorders>
            <w:shd w:fill="ffe7e7" w:val="clear"/>
            <w:tcMar>
              <w:top w:w="0.0" w:type="dxa"/>
              <w:left w:w="100.0" w:type="dxa"/>
              <w:bottom w:w="0.0" w:type="dxa"/>
              <w:right w:w="100.0" w:type="dxa"/>
            </w:tcMar>
            <w:vAlign w:val="top"/>
          </w:tcPr>
          <w:p w:rsidR="00000000" w:rsidDel="00000000" w:rsidP="00000000" w:rsidRDefault="00000000" w:rsidRPr="00000000" w14:paraId="00000065">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tcBorders>
              <w:top w:color="000000" w:space="0" w:sz="0" w:val="nil"/>
              <w:left w:color="000000" w:space="0" w:sz="0" w:val="nil"/>
              <w:bottom w:color="000000" w:space="0" w:sz="5" w:val="single"/>
              <w:right w:color="000000" w:space="0" w:sz="5" w:val="single"/>
            </w:tcBorders>
            <w:shd w:fill="ffe7e7" w:val="clear"/>
            <w:tcMar>
              <w:top w:w="0.0" w:type="dxa"/>
              <w:left w:w="100.0" w:type="dxa"/>
              <w:bottom w:w="0.0" w:type="dxa"/>
              <w:right w:w="100.0" w:type="dxa"/>
            </w:tcMar>
            <w:vAlign w:val="top"/>
          </w:tcPr>
          <w:p w:rsidR="00000000" w:rsidDel="00000000" w:rsidP="00000000" w:rsidRDefault="00000000" w:rsidRPr="00000000" w14:paraId="00000066">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Valores faltantes puntuales. Sin impacto relevante.</w:t>
            </w:r>
          </w:p>
        </w:tc>
      </w:tr>
    </w:tbl>
    <w:p w:rsidR="00000000" w:rsidDel="00000000" w:rsidP="00000000" w:rsidRDefault="00000000" w:rsidRPr="00000000" w14:paraId="00000067">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85 columnas restantes no presentan valores nulos.</w:t>
      </w:r>
    </w:p>
    <w:p w:rsidR="00000000" w:rsidDel="00000000" w:rsidP="00000000" w:rsidRDefault="00000000" w:rsidRPr="00000000" w14:paraId="00000068">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9">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heading=h.ylsb1p9fbe9h" w:id="3"/>
      <w:bookmarkEnd w:id="3"/>
      <w:r w:rsidDel="00000000" w:rsidR="00000000" w:rsidRPr="00000000">
        <w:rPr>
          <w:rFonts w:ascii="Calibri" w:cs="Calibri" w:eastAsia="Calibri" w:hAnsi="Calibri"/>
          <w:b w:val="1"/>
          <w:bCs w:val="1"/>
          <w:color w:val="000000"/>
          <w:sz w:val="24"/>
          <w:szCs w:val="24"/>
          <w:rtl w:val="0"/>
        </w:rPr>
        <w:t xml:space="preserve">Inconsistencias y problemas detectados</w:t>
      </w:r>
    </w:p>
    <w:p w:rsidR="00000000" w:rsidDel="00000000" w:rsidP="00000000" w:rsidRDefault="00000000" w:rsidRPr="00000000" w14:paraId="0000006A">
      <w:pPr>
        <w:numPr>
          <w:ilvl w:val="0"/>
          <w:numId w:val="6"/>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Datos provisionales: </w:t>
      </w:r>
      <w:r w:rsidDel="00000000" w:rsidR="00000000" w:rsidRPr="00000000">
        <w:rPr>
          <w:rFonts w:ascii="Calibri" w:cs="Calibri" w:eastAsia="Calibri" w:hAnsi="Calibri"/>
          <w:sz w:val="24"/>
          <w:szCs w:val="24"/>
          <w:rtl w:val="0"/>
        </w:rPr>
        <w:t xml:space="preserve">Los últimos 3 a 6 meses de la serie están marcados con asterisco (*) en el archivo original, indicando datos provisionales sujetos a revisión por INDEC.</w:t>
      </w:r>
      <w:r w:rsidDel="00000000" w:rsidR="00000000" w:rsidRPr="00000000">
        <w:rPr>
          <w:rtl w:val="0"/>
        </w:rPr>
      </w:r>
    </w:p>
    <w:p w:rsidR="00000000" w:rsidDel="00000000" w:rsidP="00000000" w:rsidRDefault="00000000" w:rsidRPr="00000000" w14:paraId="0000006B">
      <w:pPr>
        <w:numPr>
          <w:ilvl w:val="0"/>
          <w:numId w:val="6"/>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Campo año incompleto: </w:t>
      </w:r>
      <w:r w:rsidDel="00000000" w:rsidR="00000000" w:rsidRPr="00000000">
        <w:rPr>
          <w:rFonts w:ascii="Calibri" w:cs="Calibri" w:eastAsia="Calibri" w:hAnsi="Calibri"/>
          <w:sz w:val="24"/>
          <w:szCs w:val="24"/>
          <w:rtl w:val="0"/>
        </w:rPr>
        <w:t xml:space="preserve">El campo año solo aparece en la fila de enero; los demás meses tienen esa celda vacía. Requiere relleno hacia abajo antes de procesar.</w:t>
      </w:r>
      <w:r w:rsidDel="00000000" w:rsidR="00000000" w:rsidRPr="00000000">
        <w:rPr>
          <w:rtl w:val="0"/>
        </w:rPr>
      </w:r>
    </w:p>
    <w:p w:rsidR="00000000" w:rsidDel="00000000" w:rsidP="00000000" w:rsidRDefault="00000000" w:rsidRPr="00000000" w14:paraId="0000006C">
      <w:pPr>
        <w:numPr>
          <w:ilvl w:val="0"/>
          <w:numId w:val="6"/>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Encabezado de dos niveles: </w:t>
      </w:r>
      <w:r w:rsidDel="00000000" w:rsidR="00000000" w:rsidRPr="00000000">
        <w:rPr>
          <w:rFonts w:ascii="Calibri" w:cs="Calibri" w:eastAsia="Calibri" w:hAnsi="Calibri"/>
          <w:sz w:val="24"/>
          <w:szCs w:val="24"/>
          <w:rtl w:val="0"/>
        </w:rPr>
        <w:t xml:space="preserve">El archivo tiene un encabezado de dos niveles (fila de códigos CLaNAE + fila de nombres de sector) que requiere procesamiento previo para obtener una tabla limpia.</w:t>
      </w:r>
      <w:r w:rsidDel="00000000" w:rsidR="00000000" w:rsidRPr="00000000">
        <w:rPr>
          <w:rtl w:val="0"/>
        </w:rPr>
      </w:r>
    </w:p>
    <w:p w:rsidR="00000000" w:rsidDel="00000000" w:rsidP="00000000" w:rsidRDefault="00000000" w:rsidRPr="00000000" w14:paraId="0000006D">
      <w:pPr>
        <w:numPr>
          <w:ilvl w:val="0"/>
          <w:numId w:val="6"/>
        </w:numPr>
        <w:spacing w:after="20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Granularidad diferente al UCII: </w:t>
      </w:r>
      <w:r w:rsidDel="00000000" w:rsidR="00000000" w:rsidRPr="00000000">
        <w:rPr>
          <w:rFonts w:ascii="Calibri" w:cs="Calibri" w:eastAsia="Calibri" w:hAnsi="Calibri"/>
          <w:sz w:val="24"/>
          <w:szCs w:val="24"/>
          <w:rtl w:val="0"/>
        </w:rPr>
        <w:t xml:space="preserve">El IPI tiene ~85 subclases CLaNAE mientras la UCII reporta solo 12 bloques. No hay correspondencia directa 1:1 entre ambos datasets.</w:t>
      </w:r>
      <w:r w:rsidDel="00000000" w:rsidR="00000000" w:rsidRPr="00000000">
        <w:rPr>
          <w:rtl w:val="0"/>
        </w:rPr>
      </w:r>
    </w:p>
    <w:p w:rsidR="00000000" w:rsidDel="00000000" w:rsidP="00000000" w:rsidRDefault="00000000" w:rsidRPr="00000000" w14:paraId="0000006E">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F">
      <w:pPr>
        <w:pStyle w:val="Heading2"/>
        <w:keepNext w:val="0"/>
        <w:keepLines w:val="0"/>
        <w:spacing w:after="80" w:lineRule="auto"/>
        <w:jc w:val="both"/>
        <w:rPr>
          <w:rFonts w:ascii="Calibri" w:cs="Calibri" w:eastAsia="Calibri" w:hAnsi="Calibri"/>
          <w:b w:val="1"/>
          <w:bCs w:val="1"/>
          <w:sz w:val="24"/>
          <w:szCs w:val="24"/>
        </w:rPr>
      </w:pPr>
      <w:bookmarkStart w:colFirst="0" w:colLast="0" w:name="_heading=h.d55ukjj5fobs" w:id="4"/>
      <w:bookmarkEnd w:id="4"/>
      <w:r w:rsidDel="00000000" w:rsidR="00000000" w:rsidRPr="00000000">
        <w:rPr>
          <w:rFonts w:ascii="Calibri" w:cs="Calibri" w:eastAsia="Calibri" w:hAnsi="Calibri"/>
          <w:b w:val="1"/>
          <w:bCs w:val="1"/>
          <w:sz w:val="24"/>
          <w:szCs w:val="24"/>
          <w:rtl w:val="0"/>
        </w:rPr>
        <w:t xml:space="preserve">Observaciones iniciales</w:t>
      </w:r>
    </w:p>
    <w:p w:rsidR="00000000" w:rsidDel="00000000" w:rsidP="00000000" w:rsidRDefault="00000000" w:rsidRPr="00000000" w14:paraId="00000070">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Mínimo del periodo: 80,4 puntos en abril de 2020 (caída por COVID-19).</w:t>
      </w:r>
    </w:p>
    <w:p w:rsidR="00000000" w:rsidDel="00000000" w:rsidP="00000000" w:rsidRDefault="00000000" w:rsidRPr="00000000" w14:paraId="00000071">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Máximo del periodo: 143,0 puntos en agosto 2017.</w:t>
      </w:r>
    </w:p>
    <w:p w:rsidR="00000000" w:rsidDel="00000000" w:rsidP="00000000" w:rsidRDefault="00000000" w:rsidRPr="00000000" w14:paraId="00000072">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Promedio 2016-2026: 123,4 puntos.</w:t>
      </w:r>
    </w:p>
    <w:p w:rsidR="00000000" w:rsidDel="00000000" w:rsidP="00000000" w:rsidRDefault="00000000" w:rsidRPr="00000000" w14:paraId="00000073">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Caída pronunciada en 2020 (promedio anual 109,1) con recuperación en 2021-2022 (126,2 y 131,5). Nueva contracción desde 2024 (promedio 117,0).</w:t>
      </w:r>
    </w:p>
    <w:p w:rsidR="00000000" w:rsidDel="00000000" w:rsidP="00000000" w:rsidRDefault="00000000" w:rsidRPr="00000000" w14:paraId="00000074">
      <w:pPr>
        <w:numPr>
          <w:ilvl w:val="0"/>
          <w:numId w:val="5"/>
        </w:numPr>
        <w:spacing w:after="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sectores de exportación (petróleo, alimentos) mantienen índices sistemáticamente más altos que los orientados al mercado interno.</w:t>
      </w:r>
    </w:p>
    <w:p w:rsidR="00000000" w:rsidDel="00000000" w:rsidP="00000000" w:rsidRDefault="00000000" w:rsidRPr="00000000" w14:paraId="0000007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7">
      <w:pPr>
        <w:pStyle w:val="Heading1"/>
        <w:keepNext w:val="0"/>
        <w:keepLines w:val="0"/>
        <w:spacing w:before="480" w:lineRule="auto"/>
        <w:jc w:val="both"/>
        <w:rPr>
          <w:rFonts w:ascii="Calibri" w:cs="Calibri" w:eastAsia="Calibri" w:hAnsi="Calibri"/>
          <w:b w:val="1"/>
          <w:bCs w:val="1"/>
          <w:sz w:val="24"/>
          <w:szCs w:val="24"/>
        </w:rPr>
      </w:pPr>
      <w:bookmarkStart w:colFirst="0" w:colLast="0" w:name="_heading=h.dmsrdxbyvl8k" w:id="5"/>
      <w:bookmarkEnd w:id="5"/>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jc w:val="both"/>
        <w:rPr>
          <w:rFonts w:ascii="Calibri" w:cs="Calibri" w:eastAsia="Calibri" w:hAnsi="Calibri"/>
          <w:b w:val="1"/>
          <w:bCs w:val="1"/>
          <w:sz w:val="24"/>
          <w:szCs w:val="24"/>
        </w:rPr>
      </w:pPr>
      <w:bookmarkStart w:colFirst="0" w:colLast="0" w:name="_heading=h.3et42jhamwqe" w:id="6"/>
      <w:bookmarkEnd w:id="6"/>
      <w:r w:rsidDel="00000000" w:rsidR="00000000" w:rsidRPr="00000000">
        <w:rPr>
          <w:rFonts w:ascii="Calibri" w:cs="Calibri" w:eastAsia="Calibri" w:hAnsi="Calibri"/>
          <w:b w:val="1"/>
          <w:bCs w:val="1"/>
          <w:sz w:val="24"/>
          <w:szCs w:val="24"/>
          <w:rtl w:val="0"/>
        </w:rPr>
        <w:t xml:space="preserve">Dataset 2  —  UCII (INDEC)</w:t>
      </w:r>
    </w:p>
    <w:p w:rsidR="00000000" w:rsidDel="00000000" w:rsidP="00000000" w:rsidRDefault="00000000" w:rsidRPr="00000000" w14:paraId="00000079">
      <w:pPr>
        <w:pStyle w:val="Heading2"/>
        <w:keepNext w:val="0"/>
        <w:keepLines w:val="0"/>
        <w:spacing w:after="80" w:lineRule="auto"/>
        <w:jc w:val="both"/>
        <w:rPr>
          <w:rFonts w:ascii="Calibri" w:cs="Calibri" w:eastAsia="Calibri" w:hAnsi="Calibri"/>
          <w:b w:val="1"/>
          <w:bCs w:val="1"/>
          <w:sz w:val="24"/>
          <w:szCs w:val="24"/>
        </w:rPr>
      </w:pPr>
      <w:bookmarkStart w:colFirst="0" w:colLast="0" w:name="_heading=h.c8lac2qi7xoa" w:id="7"/>
      <w:bookmarkEnd w:id="7"/>
      <w:r w:rsidDel="00000000" w:rsidR="00000000" w:rsidRPr="00000000">
        <w:rPr>
          <w:rFonts w:ascii="Calibri" w:cs="Calibri" w:eastAsia="Calibri" w:hAnsi="Calibri"/>
          <w:b w:val="1"/>
          <w:bCs w:val="1"/>
          <w:sz w:val="24"/>
          <w:szCs w:val="24"/>
          <w:rtl w:val="0"/>
        </w:rPr>
        <w:t xml:space="preserve">Información del dataset</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915"/>
        <w:tblGridChange w:id="0">
          <w:tblGrid>
            <w:gridCol w:w="2040"/>
            <w:gridCol w:w="6915"/>
          </w:tblGrid>
        </w:tblGridChange>
      </w:tblGrid>
      <w:tr>
        <w:trPr>
          <w:cantSplit w:val="0"/>
          <w:trHeight w:val="340.15748031496065" w:hRule="atLeast"/>
          <w:tblHeader w:val="1"/>
        </w:trPr>
        <w:tc>
          <w:tcPr>
            <w:tcBorders>
              <w:top w:color="000000" w:space="0" w:sz="5" w:val="single"/>
              <w:left w:color="000000" w:space="0" w:sz="5" w:val="single"/>
              <w:bottom w:color="000000" w:space="0" w:sz="5" w:val="single"/>
              <w:right w:color="000000" w:space="0" w:sz="5" w:val="single"/>
            </w:tcBorders>
            <w:shd w:fill="c55a11" w:val="clear"/>
            <w:tcMar>
              <w:top w:w="0.0" w:type="dxa"/>
              <w:left w:w="100.0" w:type="dxa"/>
              <w:bottom w:w="0.0" w:type="dxa"/>
              <w:right w:w="100.0" w:type="dxa"/>
            </w:tcMar>
            <w:vAlign w:val="top"/>
          </w:tcPr>
          <w:p w:rsidR="00000000" w:rsidDel="00000000" w:rsidP="00000000" w:rsidRDefault="00000000" w:rsidRPr="00000000" w14:paraId="0000007A">
            <w:pPr>
              <w:spacing w:line="276"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Atributo</w:t>
            </w:r>
          </w:p>
        </w:tc>
        <w:tc>
          <w:tcPr>
            <w:tcBorders>
              <w:top w:color="000000" w:space="0" w:sz="5" w:val="single"/>
              <w:left w:color="000000" w:space="0" w:sz="0" w:val="nil"/>
              <w:bottom w:color="000000" w:space="0" w:sz="5" w:val="single"/>
              <w:right w:color="000000" w:space="0" w:sz="5" w:val="single"/>
            </w:tcBorders>
            <w:shd w:fill="c55a11" w:val="clear"/>
            <w:tcMar>
              <w:top w:w="0.0" w:type="dxa"/>
              <w:left w:w="100.0" w:type="dxa"/>
              <w:bottom w:w="0.0" w:type="dxa"/>
              <w:right w:w="100.0" w:type="dxa"/>
            </w:tcMar>
            <w:vAlign w:val="top"/>
          </w:tcPr>
          <w:p w:rsidR="00000000" w:rsidDel="00000000" w:rsidP="00000000" w:rsidRDefault="00000000" w:rsidRPr="00000000" w14:paraId="0000007B">
            <w:pPr>
              <w:spacing w:line="276"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Valor</w:t>
            </w:r>
          </w:p>
        </w:tc>
      </w:tr>
      <w:tr>
        <w:trPr>
          <w:cantSplit w:val="0"/>
          <w:trHeight w:val="340.15748031496065" w:hRule="atLeast"/>
          <w:tblHeader w:val="0"/>
        </w:trPr>
        <w:tc>
          <w:tcPr>
            <w:tcBorders>
              <w:top w:color="000000" w:space="0" w:sz="0" w:val="nil"/>
              <w:left w:color="000000" w:space="0" w:sz="5" w:val="single"/>
              <w:bottom w:color="000000" w:space="0" w:sz="5" w:val="single"/>
              <w:right w:color="000000" w:space="0" w:sz="5" w:val="single"/>
            </w:tcBorders>
            <w:shd w:fill="deeaf1" w:val="clear"/>
            <w:tcMar>
              <w:top w:w="0.0" w:type="dxa"/>
              <w:left w:w="100.0" w:type="dxa"/>
              <w:bottom w:w="0.0" w:type="dxa"/>
              <w:right w:w="100.0" w:type="dxa"/>
            </w:tcMar>
            <w:vAlign w:val="top"/>
          </w:tcPr>
          <w:p w:rsidR="00000000" w:rsidDel="00000000" w:rsidP="00000000" w:rsidRDefault="00000000" w:rsidRPr="00000000" w14:paraId="0000007C">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Dataset</w:t>
            </w:r>
          </w:p>
        </w:tc>
        <w:tc>
          <w:tcPr>
            <w:tcBorders>
              <w:top w:color="000000" w:space="0" w:sz="0" w:val="nil"/>
              <w:left w:color="000000" w:space="0" w:sz="0" w:val="nil"/>
              <w:bottom w:color="000000" w:space="0" w:sz="5" w:val="single"/>
              <w:right w:color="000000" w:space="0" w:sz="5" w:val="single"/>
            </w:tcBorders>
            <w:shd w:fill="deeaf1" w:val="clear"/>
            <w:tcMar>
              <w:top w:w="0.0" w:type="dxa"/>
              <w:left w:w="100.0" w:type="dxa"/>
              <w:bottom w:w="0.0" w:type="dxa"/>
              <w:right w:w="100.0" w:type="dxa"/>
            </w:tcMar>
            <w:vAlign w:val="top"/>
          </w:tcPr>
          <w:p w:rsidR="00000000" w:rsidDel="00000000" w:rsidP="00000000" w:rsidRDefault="00000000" w:rsidRPr="00000000" w14:paraId="0000007D">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Utilización de la Capacidad Instalada Industrial — NG y bloques sectoriales</w:t>
            </w:r>
          </w:p>
        </w:tc>
      </w:tr>
      <w:tr>
        <w:trPr>
          <w:cantSplit w:val="0"/>
          <w:trHeight w:val="340.15748031496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Instituto Nacional de Estadística y Censos (INDEC)</w:t>
            </w:r>
          </w:p>
        </w:tc>
      </w:tr>
      <w:tr>
        <w:trPr>
          <w:cantSplit w:val="0"/>
          <w:trHeight w:val="340.15748031496065" w:hRule="atLeast"/>
          <w:tblHeader w:val="0"/>
        </w:trPr>
        <w:tc>
          <w:tcPr>
            <w:tcBorders>
              <w:top w:color="000000" w:space="0" w:sz="0" w:val="nil"/>
              <w:left w:color="000000" w:space="0" w:sz="5" w:val="single"/>
              <w:bottom w:color="000000" w:space="0" w:sz="5" w:val="single"/>
              <w:right w:color="000000" w:space="0" w:sz="5" w:val="single"/>
            </w:tcBorders>
            <w:shd w:fill="deeaf1" w:val="clear"/>
            <w:tcMar>
              <w:top w:w="0.0" w:type="dxa"/>
              <w:left w:w="100.0" w:type="dxa"/>
              <w:bottom w:w="0.0" w:type="dxa"/>
              <w:right w:w="100.0" w:type="dxa"/>
            </w:tcMar>
            <w:vAlign w:val="top"/>
          </w:tcPr>
          <w:p w:rsidR="00000000" w:rsidDel="00000000" w:rsidP="00000000" w:rsidRDefault="00000000" w:rsidRPr="00000000" w14:paraId="00000080">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Archivo</w:t>
            </w:r>
          </w:p>
        </w:tc>
        <w:tc>
          <w:tcPr>
            <w:tcBorders>
              <w:top w:color="000000" w:space="0" w:sz="0" w:val="nil"/>
              <w:left w:color="000000" w:space="0" w:sz="0" w:val="nil"/>
              <w:bottom w:color="000000" w:space="0" w:sz="5" w:val="single"/>
              <w:right w:color="000000" w:space="0" w:sz="5" w:val="single"/>
            </w:tcBorders>
            <w:shd w:fill="deeaf1" w:val="clear"/>
            <w:tcMar>
              <w:top w:w="0.0" w:type="dxa"/>
              <w:left w:w="100.0" w:type="dxa"/>
              <w:bottom w:w="0.0" w:type="dxa"/>
              <w:right w:w="100.0" w:type="dxa"/>
            </w:tcMar>
            <w:vAlign w:val="top"/>
          </w:tcPr>
          <w:p w:rsidR="00000000" w:rsidDel="00000000" w:rsidP="00000000" w:rsidRDefault="00000000" w:rsidRPr="00000000" w14:paraId="00000081">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sh_capacidad_04_26.xls  —  hoja UCI - NG y bloques</w:t>
            </w:r>
          </w:p>
        </w:tc>
      </w:tr>
      <w:tr>
        <w:trPr>
          <w:cantSplit w:val="0"/>
          <w:trHeight w:val="340.15748031496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Registros (filas)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110</w:t>
            </w:r>
          </w:p>
        </w:tc>
      </w:tr>
      <w:tr>
        <w:trPr>
          <w:cantSplit w:val="0"/>
          <w:trHeight w:val="340.15748031496065" w:hRule="atLeast"/>
          <w:tblHeader w:val="0"/>
        </w:trPr>
        <w:tc>
          <w:tcPr>
            <w:tcBorders>
              <w:top w:color="000000" w:space="0" w:sz="0" w:val="nil"/>
              <w:left w:color="000000" w:space="0" w:sz="5" w:val="single"/>
              <w:bottom w:color="000000" w:space="0" w:sz="5" w:val="single"/>
              <w:right w:color="000000" w:space="0" w:sz="5" w:val="single"/>
            </w:tcBorders>
            <w:shd w:fill="deeaf1" w:val="clear"/>
            <w:tcMar>
              <w:top w:w="0.0" w:type="dxa"/>
              <w:left w:w="100.0" w:type="dxa"/>
              <w:bottom w:w="0.0" w:type="dxa"/>
              <w:right w:w="100.0" w:type="dxa"/>
            </w:tcMar>
            <w:vAlign w:val="top"/>
          </w:tcPr>
          <w:p w:rsidR="00000000" w:rsidDel="00000000" w:rsidP="00000000" w:rsidRDefault="00000000" w:rsidRPr="00000000" w14:paraId="00000084">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Variables (cols.)</w:t>
            </w:r>
          </w:p>
        </w:tc>
        <w:tc>
          <w:tcPr>
            <w:tcBorders>
              <w:top w:color="000000" w:space="0" w:sz="0" w:val="nil"/>
              <w:left w:color="000000" w:space="0" w:sz="0" w:val="nil"/>
              <w:bottom w:color="000000" w:space="0" w:sz="5" w:val="single"/>
              <w:right w:color="000000" w:space="0" w:sz="5" w:val="single"/>
            </w:tcBorders>
            <w:shd w:fill="deeaf1" w:val="clear"/>
            <w:tcMar>
              <w:top w:w="0.0" w:type="dxa"/>
              <w:left w:w="100.0" w:type="dxa"/>
              <w:bottom w:w="0.0" w:type="dxa"/>
              <w:right w:w="100.0" w:type="dxa"/>
            </w:tcMar>
            <w:vAlign w:val="top"/>
          </w:tcPr>
          <w:p w:rsidR="00000000" w:rsidDel="00000000" w:rsidP="00000000" w:rsidRDefault="00000000" w:rsidRPr="00000000" w14:paraId="00000085">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 (fecha, año, mes  +  Nivel general  +  12 bloques industriales)</w:t>
            </w:r>
          </w:p>
        </w:tc>
      </w:tr>
      <w:tr>
        <w:trPr>
          <w:cantSplit w:val="0"/>
          <w:trHeight w:val="340.15748031496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Periodo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Enero 2017 — febrero 2026</w:t>
            </w:r>
          </w:p>
        </w:tc>
      </w:tr>
      <w:tr>
        <w:trPr>
          <w:cantSplit w:val="0"/>
          <w:trHeight w:val="340.15748031496065" w:hRule="atLeast"/>
          <w:tblHeader w:val="0"/>
        </w:trPr>
        <w:tc>
          <w:tcPr>
            <w:tcBorders>
              <w:top w:color="000000" w:space="0" w:sz="0" w:val="nil"/>
              <w:left w:color="000000" w:space="0" w:sz="5" w:val="single"/>
              <w:bottom w:color="000000" w:space="0" w:sz="5" w:val="single"/>
              <w:right w:color="000000" w:space="0" w:sz="5" w:val="single"/>
            </w:tcBorders>
            <w:shd w:fill="deeaf1" w:val="clear"/>
            <w:tcMar>
              <w:top w:w="0.0" w:type="dxa"/>
              <w:left w:w="100.0" w:type="dxa"/>
              <w:bottom w:w="0.0" w:type="dxa"/>
              <w:right w:w="100.0" w:type="dxa"/>
            </w:tcMar>
            <w:vAlign w:val="top"/>
          </w:tcPr>
          <w:p w:rsidR="00000000" w:rsidDel="00000000" w:rsidP="00000000" w:rsidRDefault="00000000" w:rsidRPr="00000000" w14:paraId="00000088">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w:t>
            </w:r>
          </w:p>
        </w:tc>
        <w:tc>
          <w:tcPr>
            <w:tcBorders>
              <w:top w:color="000000" w:space="0" w:sz="0" w:val="nil"/>
              <w:left w:color="000000" w:space="0" w:sz="0" w:val="nil"/>
              <w:bottom w:color="000000" w:space="0" w:sz="5" w:val="single"/>
              <w:right w:color="000000" w:space="0" w:sz="5" w:val="single"/>
            </w:tcBorders>
            <w:shd w:fill="deeaf1" w:val="clear"/>
            <w:tcMar>
              <w:top w:w="0.0" w:type="dxa"/>
              <w:left w:w="100.0" w:type="dxa"/>
              <w:bottom w:w="0.0" w:type="dxa"/>
              <w:right w:w="100.0" w:type="dxa"/>
            </w:tcMar>
            <w:vAlign w:val="top"/>
          </w:tcPr>
          <w:p w:rsidR="00000000" w:rsidDel="00000000" w:rsidP="00000000" w:rsidRDefault="00000000" w:rsidRPr="00000000" w14:paraId="00000089">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Mensual</w:t>
            </w:r>
          </w:p>
        </w:tc>
      </w:tr>
      <w:tr>
        <w:trPr>
          <w:cantSplit w:val="0"/>
          <w:trHeight w:val="340.15748031496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Unidad de medida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Porcentaje (%) —  variable derivada: Capacidad Ociosa = 100 - UCII</w:t>
            </w:r>
          </w:p>
        </w:tc>
      </w:tr>
    </w:tbl>
    <w:p w:rsidR="00000000" w:rsidDel="00000000" w:rsidP="00000000" w:rsidRDefault="00000000" w:rsidRPr="00000000" w14:paraId="0000008C">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D">
      <w:pPr>
        <w:pStyle w:val="Heading2"/>
        <w:keepNext w:val="0"/>
        <w:keepLines w:val="0"/>
        <w:spacing w:after="80" w:lineRule="auto"/>
        <w:jc w:val="both"/>
        <w:rPr>
          <w:rFonts w:ascii="Calibri" w:cs="Calibri" w:eastAsia="Calibri" w:hAnsi="Calibri"/>
          <w:b w:val="1"/>
          <w:bCs w:val="1"/>
          <w:sz w:val="24"/>
          <w:szCs w:val="24"/>
        </w:rPr>
      </w:pPr>
      <w:bookmarkStart w:colFirst="0" w:colLast="0" w:name="_heading=h.xw7x79nqa9da" w:id="8"/>
      <w:bookmarkEnd w:id="8"/>
      <w:r w:rsidDel="00000000" w:rsidR="00000000" w:rsidRPr="00000000">
        <w:rPr>
          <w:rFonts w:ascii="Calibri" w:cs="Calibri" w:eastAsia="Calibri" w:hAnsi="Calibri"/>
          <w:b w:val="1"/>
          <w:bCs w:val="1"/>
          <w:sz w:val="24"/>
          <w:szCs w:val="24"/>
          <w:rtl w:val="0"/>
        </w:rPr>
        <w:t xml:space="preserve">Tipos de variables</w:t>
      </w:r>
    </w:p>
    <w:tbl>
      <w:tblPr>
        <w:tblStyle w:val="Table5"/>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1785"/>
        <w:gridCol w:w="4155"/>
        <w:tblGridChange w:id="0">
          <w:tblGrid>
            <w:gridCol w:w="3030"/>
            <w:gridCol w:w="1785"/>
            <w:gridCol w:w="415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74b5" w:val="clear"/>
            <w:tcMar>
              <w:top w:w="0.0" w:type="dxa"/>
              <w:left w:w="100.0" w:type="dxa"/>
              <w:bottom w:w="0.0" w:type="dxa"/>
              <w:right w:w="100.0" w:type="dxa"/>
            </w:tcMar>
            <w:vAlign w:val="top"/>
          </w:tcPr>
          <w:p w:rsidR="00000000" w:rsidDel="00000000" w:rsidP="00000000" w:rsidRDefault="00000000" w:rsidRPr="00000000" w14:paraId="0000008E">
            <w:pPr>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Variable</w:t>
            </w:r>
          </w:p>
        </w:tc>
        <w:tc>
          <w:tcPr>
            <w:tcBorders>
              <w:top w:color="000000" w:space="0" w:sz="6" w:val="single"/>
              <w:left w:color="000000" w:space="0" w:sz="0" w:val="nil"/>
              <w:bottom w:color="000000" w:space="0" w:sz="6" w:val="single"/>
              <w:right w:color="000000" w:space="0" w:sz="6" w:val="single"/>
            </w:tcBorders>
            <w:shd w:fill="2e74b5" w:val="clear"/>
            <w:tcMar>
              <w:top w:w="0.0" w:type="dxa"/>
              <w:left w:w="100.0" w:type="dxa"/>
              <w:bottom w:w="0.0" w:type="dxa"/>
              <w:right w:w="100.0" w:type="dxa"/>
            </w:tcMar>
            <w:vAlign w:val="top"/>
          </w:tcPr>
          <w:p w:rsidR="00000000" w:rsidDel="00000000" w:rsidP="00000000" w:rsidRDefault="00000000" w:rsidRPr="00000000" w14:paraId="0000008F">
            <w:pPr>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Tipo de dato</w:t>
            </w:r>
          </w:p>
        </w:tc>
        <w:tc>
          <w:tcPr>
            <w:tcBorders>
              <w:top w:color="000000" w:space="0" w:sz="6" w:val="single"/>
              <w:left w:color="000000" w:space="0" w:sz="0" w:val="nil"/>
              <w:bottom w:color="000000" w:space="0" w:sz="6" w:val="single"/>
              <w:right w:color="000000" w:space="0" w:sz="6" w:val="single"/>
            </w:tcBorders>
            <w:shd w:fill="2e74b5" w:val="clear"/>
            <w:tcMar>
              <w:top w:w="0.0" w:type="dxa"/>
              <w:left w:w="100.0" w:type="dxa"/>
              <w:bottom w:w="0.0" w:type="dxa"/>
              <w:right w:w="100.0" w:type="dxa"/>
            </w:tcMar>
            <w:vAlign w:val="top"/>
          </w:tcPr>
          <w:p w:rsidR="00000000" w:rsidDel="00000000" w:rsidP="00000000" w:rsidRDefault="00000000" w:rsidRPr="00000000" w14:paraId="00000090">
            <w:pPr>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Descripción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9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w:t>
            </w:r>
          </w:p>
        </w:tc>
        <w:tc>
          <w:tcPr>
            <w:tcBorders>
              <w:top w:color="000000" w:space="0" w:sz="0" w:val="nil"/>
              <w:left w:color="000000" w:space="0" w:sz="0" w:val="nil"/>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9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w:t>
            </w:r>
          </w:p>
        </w:tc>
        <w:tc>
          <w:tcPr>
            <w:tcBorders>
              <w:top w:color="000000" w:space="0" w:sz="0" w:val="nil"/>
              <w:left w:color="000000" w:space="0" w:sz="0" w:val="nil"/>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9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 día de cada mes (fecha de referencia)</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entero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 de la observación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9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mes</w:t>
            </w:r>
          </w:p>
        </w:tc>
        <w:tc>
          <w:tcPr>
            <w:tcBorders>
              <w:top w:color="000000" w:space="0" w:sz="0" w:val="nil"/>
              <w:left w:color="000000" w:space="0" w:sz="0" w:val="nil"/>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9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Texto</w:t>
            </w:r>
          </w:p>
        </w:tc>
        <w:tc>
          <w:tcPr>
            <w:tcBorders>
              <w:top w:color="000000" w:space="0" w:sz="0" w:val="nil"/>
              <w:left w:color="000000" w:space="0" w:sz="0" w:val="nil"/>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9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mes en español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Nivel general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Porcentaje promedio de utilización de toda la industria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9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Productos alimenticios y bebidas</w:t>
            </w:r>
          </w:p>
        </w:tc>
        <w:tc>
          <w:tcPr>
            <w:tcBorders>
              <w:top w:color="000000" w:space="0" w:sz="0" w:val="nil"/>
              <w:left w:color="000000" w:space="0" w:sz="0" w:val="nil"/>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9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9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 utilización de la capacidad instalada del bloque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Productos del tabaco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 utilización de la capacidad instalada del bloque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A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Productos textiles</w:t>
            </w:r>
          </w:p>
        </w:tc>
        <w:tc>
          <w:tcPr>
            <w:tcBorders>
              <w:top w:color="000000" w:space="0" w:sz="0" w:val="nil"/>
              <w:left w:color="000000" w:space="0" w:sz="0" w:val="nil"/>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A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A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 utilización de la capacidad instalada del bloque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Papel y cartón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 utilización de la capacidad instalada del bloque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A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Edición e impresión</w:t>
            </w:r>
          </w:p>
        </w:tc>
        <w:tc>
          <w:tcPr>
            <w:tcBorders>
              <w:top w:color="000000" w:space="0" w:sz="0" w:val="nil"/>
              <w:left w:color="000000" w:space="0" w:sz="0" w:val="nil"/>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A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A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 utilización de la capacidad instalada del bloque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Refinación del petróleo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 utilización de la capacidad instalada del bloque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A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Sustancias y productos químicos</w:t>
            </w:r>
          </w:p>
        </w:tc>
        <w:tc>
          <w:tcPr>
            <w:tcBorders>
              <w:top w:color="000000" w:space="0" w:sz="0" w:val="nil"/>
              <w:left w:color="000000" w:space="0" w:sz="0" w:val="nil"/>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B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B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 utilización de la capacidad instalada del bloque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Productos de caucho y plástico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 utilización de la capacidad instalada del bloque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B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Productos minerales no metálicos</w:t>
            </w:r>
          </w:p>
        </w:tc>
        <w:tc>
          <w:tcPr>
            <w:tcBorders>
              <w:top w:color="000000" w:space="0" w:sz="0" w:val="nil"/>
              <w:left w:color="000000" w:space="0" w:sz="0" w:val="nil"/>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B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B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 utilización de la capacidad instalada del bloque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Industrias metálicas básicas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 utilización de la capacidad instalada del bloque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B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Industria automotriz</w:t>
            </w:r>
          </w:p>
        </w:tc>
        <w:tc>
          <w:tcPr>
            <w:tcBorders>
              <w:top w:color="000000" w:space="0" w:sz="0" w:val="nil"/>
              <w:left w:color="000000" w:space="0" w:sz="0" w:val="nil"/>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B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6" w:val="single"/>
              <w:right w:color="000000" w:space="0" w:sz="6" w:val="single"/>
            </w:tcBorders>
            <w:shd w:fill="ebf3fb" w:val="clear"/>
            <w:tcMar>
              <w:top w:w="0.0" w:type="dxa"/>
              <w:left w:w="100.0" w:type="dxa"/>
              <w:bottom w:w="0.0" w:type="dxa"/>
              <w:right w:w="100.0" w:type="dxa"/>
            </w:tcMar>
            <w:vAlign w:val="top"/>
          </w:tcPr>
          <w:p w:rsidR="00000000" w:rsidDel="00000000" w:rsidP="00000000" w:rsidRDefault="00000000" w:rsidRPr="00000000" w14:paraId="000000B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 utilización de la capacidad instalada del bloque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Metalmecánica excluida industria automotriz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 utilización de la capacidad instalada del bloque</w:t>
            </w:r>
          </w:p>
        </w:tc>
      </w:tr>
    </w:tbl>
    <w:p w:rsidR="00000000" w:rsidDel="00000000" w:rsidP="00000000" w:rsidRDefault="00000000" w:rsidRPr="00000000" w14:paraId="000000C1">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2">
      <w:pPr>
        <w:pStyle w:val="Heading2"/>
        <w:keepNext w:val="0"/>
        <w:keepLines w:val="0"/>
        <w:spacing w:after="80" w:lineRule="auto"/>
        <w:jc w:val="both"/>
        <w:rPr>
          <w:rFonts w:ascii="Calibri" w:cs="Calibri" w:eastAsia="Calibri" w:hAnsi="Calibri"/>
          <w:b w:val="1"/>
          <w:bCs w:val="1"/>
          <w:sz w:val="24"/>
          <w:szCs w:val="24"/>
        </w:rPr>
      </w:pPr>
      <w:bookmarkStart w:colFirst="0" w:colLast="0" w:name="_heading=h.tbtwhrt0g6c" w:id="9"/>
      <w:bookmarkEnd w:id="9"/>
      <w:r w:rsidDel="00000000" w:rsidR="00000000" w:rsidRPr="00000000">
        <w:rPr>
          <w:rFonts w:ascii="Calibri" w:cs="Calibri" w:eastAsia="Calibri" w:hAnsi="Calibri"/>
          <w:b w:val="1"/>
          <w:bCs w:val="1"/>
          <w:sz w:val="24"/>
          <w:szCs w:val="24"/>
          <w:rtl w:val="0"/>
        </w:rPr>
        <w:t xml:space="preserve">Calidad de datos</w:t>
      </w:r>
    </w:p>
    <w:p w:rsidR="00000000" w:rsidDel="00000000" w:rsidP="00000000" w:rsidRDefault="00000000" w:rsidRPr="00000000" w14:paraId="000000C3">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heading=h.q56cfhnx80n2" w:id="10"/>
      <w:bookmarkEnd w:id="10"/>
      <w:r w:rsidDel="00000000" w:rsidR="00000000" w:rsidRPr="00000000">
        <w:rPr>
          <w:rFonts w:ascii="Calibri" w:cs="Calibri" w:eastAsia="Calibri" w:hAnsi="Calibri"/>
          <w:b w:val="1"/>
          <w:bCs w:val="1"/>
          <w:color w:val="000000"/>
          <w:sz w:val="24"/>
          <w:szCs w:val="24"/>
          <w:rtl w:val="0"/>
        </w:rPr>
        <w:t xml:space="preserve">Valores nulos</w:t>
      </w:r>
    </w:p>
    <w:tbl>
      <w:tblPr>
        <w:tblStyle w:val="Table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05"/>
        <w:gridCol w:w="2160"/>
        <w:gridCol w:w="2325"/>
        <w:tblGridChange w:id="0">
          <w:tblGrid>
            <w:gridCol w:w="2250"/>
            <w:gridCol w:w="2205"/>
            <w:gridCol w:w="2160"/>
            <w:gridCol w:w="232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c00000" w:val="clear"/>
            <w:tcMar>
              <w:top w:w="0.0" w:type="dxa"/>
              <w:left w:w="100.0" w:type="dxa"/>
              <w:bottom w:w="0.0" w:type="dxa"/>
              <w:right w:w="100.0" w:type="dxa"/>
            </w:tcMar>
            <w:vAlign w:val="top"/>
          </w:tcPr>
          <w:p w:rsidR="00000000" w:rsidDel="00000000" w:rsidP="00000000" w:rsidRDefault="00000000" w:rsidRPr="00000000" w14:paraId="000000C4">
            <w:pPr>
              <w:spacing w:line="276"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Variable</w:t>
            </w:r>
          </w:p>
        </w:tc>
        <w:tc>
          <w:tcPr>
            <w:tcBorders>
              <w:top w:color="000000" w:space="0" w:sz="5" w:val="single"/>
              <w:left w:color="000000" w:space="0" w:sz="0" w:val="nil"/>
              <w:bottom w:color="000000" w:space="0" w:sz="5" w:val="single"/>
              <w:right w:color="000000" w:space="0" w:sz="5" w:val="single"/>
            </w:tcBorders>
            <w:shd w:fill="c00000" w:val="clear"/>
            <w:tcMar>
              <w:top w:w="0.0" w:type="dxa"/>
              <w:left w:w="100.0" w:type="dxa"/>
              <w:bottom w:w="0.0" w:type="dxa"/>
              <w:right w:w="100.0" w:type="dxa"/>
            </w:tcMar>
            <w:vAlign w:val="top"/>
          </w:tcPr>
          <w:p w:rsidR="00000000" w:rsidDel="00000000" w:rsidP="00000000" w:rsidRDefault="00000000" w:rsidRPr="00000000" w14:paraId="000000C5">
            <w:pPr>
              <w:spacing w:line="276"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Nulos / Vacíos</w:t>
            </w:r>
          </w:p>
        </w:tc>
        <w:tc>
          <w:tcPr>
            <w:tcBorders>
              <w:top w:color="000000" w:space="0" w:sz="5" w:val="single"/>
              <w:left w:color="000000" w:space="0" w:sz="0" w:val="nil"/>
              <w:bottom w:color="000000" w:space="0" w:sz="5" w:val="single"/>
              <w:right w:color="000000" w:space="0" w:sz="5" w:val="single"/>
            </w:tcBorders>
            <w:shd w:fill="c00000" w:val="clear"/>
            <w:tcMar>
              <w:top w:w="0.0" w:type="dxa"/>
              <w:left w:w="100.0" w:type="dxa"/>
              <w:bottom w:w="0.0" w:type="dxa"/>
              <w:right w:w="100.0" w:type="dxa"/>
            </w:tcMar>
            <w:vAlign w:val="top"/>
          </w:tcPr>
          <w:p w:rsidR="00000000" w:rsidDel="00000000" w:rsidP="00000000" w:rsidRDefault="00000000" w:rsidRPr="00000000" w14:paraId="000000C6">
            <w:pPr>
              <w:spacing w:line="276"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 del total</w:t>
            </w:r>
          </w:p>
        </w:tc>
        <w:tc>
          <w:tcPr>
            <w:tcBorders>
              <w:top w:color="000000" w:space="0" w:sz="5" w:val="single"/>
              <w:left w:color="000000" w:space="0" w:sz="0" w:val="nil"/>
              <w:bottom w:color="000000" w:space="0" w:sz="5" w:val="single"/>
              <w:right w:color="000000" w:space="0" w:sz="5" w:val="single"/>
            </w:tcBorders>
            <w:shd w:fill="c00000" w:val="clear"/>
            <w:tcMar>
              <w:top w:w="0.0" w:type="dxa"/>
              <w:left w:w="100.0" w:type="dxa"/>
              <w:bottom w:w="0.0" w:type="dxa"/>
              <w:right w:w="100.0" w:type="dxa"/>
            </w:tcMar>
            <w:vAlign w:val="top"/>
          </w:tcPr>
          <w:p w:rsidR="00000000" w:rsidDel="00000000" w:rsidP="00000000" w:rsidRDefault="00000000" w:rsidRPr="00000000" w14:paraId="000000C7">
            <w:pPr>
              <w:spacing w:line="276"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Interpretación</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fe7e7" w:val="clear"/>
            <w:tcMar>
              <w:top w:w="0.0" w:type="dxa"/>
              <w:left w:w="100.0" w:type="dxa"/>
              <w:bottom w:w="0.0" w:type="dxa"/>
              <w:right w:w="100.0" w:type="dxa"/>
            </w:tcMar>
            <w:vAlign w:val="top"/>
          </w:tcPr>
          <w:p w:rsidR="00000000" w:rsidDel="00000000" w:rsidP="00000000" w:rsidRDefault="00000000" w:rsidRPr="00000000" w14:paraId="000000C8">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Productos del tabaco</w:t>
            </w:r>
          </w:p>
        </w:tc>
        <w:tc>
          <w:tcPr>
            <w:tcBorders>
              <w:top w:color="000000" w:space="0" w:sz="0" w:val="nil"/>
              <w:left w:color="000000" w:space="0" w:sz="0" w:val="nil"/>
              <w:bottom w:color="000000" w:space="0" w:sz="5" w:val="single"/>
              <w:right w:color="000000" w:space="0" w:sz="5" w:val="single"/>
            </w:tcBorders>
            <w:shd w:fill="ffe7e7" w:val="clear"/>
            <w:tcMar>
              <w:top w:w="0.0" w:type="dxa"/>
              <w:left w:w="100.0" w:type="dxa"/>
              <w:bottom w:w="0.0" w:type="dxa"/>
              <w:right w:w="100.0" w:type="dxa"/>
            </w:tcMar>
            <w:vAlign w:val="top"/>
          </w:tcPr>
          <w:p w:rsidR="00000000" w:rsidDel="00000000" w:rsidP="00000000" w:rsidRDefault="00000000" w:rsidRPr="00000000" w14:paraId="000000C9">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de 110</w:t>
            </w:r>
          </w:p>
        </w:tc>
        <w:tc>
          <w:tcPr>
            <w:tcBorders>
              <w:top w:color="000000" w:space="0" w:sz="0" w:val="nil"/>
              <w:left w:color="000000" w:space="0" w:sz="0" w:val="nil"/>
              <w:bottom w:color="000000" w:space="0" w:sz="5" w:val="single"/>
              <w:right w:color="000000" w:space="0" w:sz="5" w:val="single"/>
            </w:tcBorders>
            <w:shd w:fill="ffe7e7" w:val="clear"/>
            <w:tcMar>
              <w:top w:w="0.0" w:type="dxa"/>
              <w:left w:w="100.0" w:type="dxa"/>
              <w:bottom w:w="0.0" w:type="dxa"/>
              <w:right w:w="100.0" w:type="dxa"/>
            </w:tcMar>
            <w:vAlign w:val="top"/>
          </w:tcPr>
          <w:p w:rsidR="00000000" w:rsidDel="00000000" w:rsidP="00000000" w:rsidRDefault="00000000" w:rsidRPr="00000000" w14:paraId="000000CA">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w:t>
            </w:r>
          </w:p>
        </w:tc>
        <w:tc>
          <w:tcPr>
            <w:tcBorders>
              <w:top w:color="000000" w:space="0" w:sz="0" w:val="nil"/>
              <w:left w:color="000000" w:space="0" w:sz="0" w:val="nil"/>
              <w:bottom w:color="000000" w:space="0" w:sz="5" w:val="single"/>
              <w:right w:color="000000" w:space="0" w:sz="5" w:val="single"/>
            </w:tcBorders>
            <w:shd w:fill="ffe7e7" w:val="clear"/>
            <w:tcMar>
              <w:top w:w="0.0" w:type="dxa"/>
              <w:left w:w="100.0" w:type="dxa"/>
              <w:bottom w:w="0.0" w:type="dxa"/>
              <w:right w:w="100.0" w:type="dxa"/>
            </w:tcMar>
            <w:vAlign w:val="top"/>
          </w:tcPr>
          <w:p w:rsidR="00000000" w:rsidDel="00000000" w:rsidP="00000000" w:rsidRDefault="00000000" w:rsidRPr="00000000" w14:paraId="000000CB">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Valor faltante puntual. Sin impacto relevante.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Industria automotriz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de 110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Valor faltante puntual. Sin impacto relevante.</w:t>
            </w:r>
          </w:p>
        </w:tc>
      </w:tr>
    </w:tbl>
    <w:p w:rsidR="00000000" w:rsidDel="00000000" w:rsidP="00000000" w:rsidRDefault="00000000" w:rsidRPr="00000000" w14:paraId="000000D0">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1">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14 columnas restantes no presentan valores nulos.</w:t>
      </w:r>
    </w:p>
    <w:p w:rsidR="00000000" w:rsidDel="00000000" w:rsidP="00000000" w:rsidRDefault="00000000" w:rsidRPr="00000000" w14:paraId="000000D2">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3">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heading=h.uxtn9ufw56mm" w:id="11"/>
      <w:bookmarkEnd w:id="11"/>
      <w:r w:rsidDel="00000000" w:rsidR="00000000" w:rsidRPr="00000000">
        <w:rPr>
          <w:rFonts w:ascii="Calibri" w:cs="Calibri" w:eastAsia="Calibri" w:hAnsi="Calibri"/>
          <w:b w:val="1"/>
          <w:bCs w:val="1"/>
          <w:color w:val="000000"/>
          <w:sz w:val="24"/>
          <w:szCs w:val="24"/>
          <w:rtl w:val="0"/>
        </w:rPr>
        <w:t xml:space="preserve">Inconsistencias y problemas detectados</w:t>
      </w:r>
    </w:p>
    <w:p w:rsidR="00000000" w:rsidDel="00000000" w:rsidP="00000000" w:rsidRDefault="00000000" w:rsidRPr="00000000" w14:paraId="000000D4">
      <w:pPr>
        <w:numPr>
          <w:ilvl w:val="0"/>
          <w:numId w:val="4"/>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Campo Periodo mixto: </w:t>
      </w:r>
      <w:r w:rsidDel="00000000" w:rsidR="00000000" w:rsidRPr="00000000">
        <w:rPr>
          <w:rFonts w:ascii="Calibri" w:cs="Calibri" w:eastAsia="Calibri" w:hAnsi="Calibri"/>
          <w:sz w:val="24"/>
          <w:szCs w:val="24"/>
          <w:rtl w:val="0"/>
        </w:rPr>
        <w:t xml:space="preserve">La columna Periodo del archivo original mezcla marcadores de año ('Año 2016') con nombres de mes ('Enero*', 'Febrero*'). Requiere un procesamiento específico para separar ambos.</w:t>
      </w:r>
      <w:r w:rsidDel="00000000" w:rsidR="00000000" w:rsidRPr="00000000">
        <w:rPr>
          <w:rtl w:val="0"/>
        </w:rPr>
      </w:r>
    </w:p>
    <w:p w:rsidR="00000000" w:rsidDel="00000000" w:rsidP="00000000" w:rsidRDefault="00000000" w:rsidRPr="00000000" w14:paraId="000000D5">
      <w:pPr>
        <w:numPr>
          <w:ilvl w:val="0"/>
          <w:numId w:val="4"/>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Datos provisionales: </w:t>
      </w:r>
      <w:r w:rsidDel="00000000" w:rsidR="00000000" w:rsidRPr="00000000">
        <w:rPr>
          <w:rFonts w:ascii="Calibri" w:cs="Calibri" w:eastAsia="Calibri" w:hAnsi="Calibri"/>
          <w:sz w:val="24"/>
          <w:szCs w:val="24"/>
          <w:rtl w:val="0"/>
        </w:rPr>
        <w:t xml:space="preserve">Los meses con asterisco (*) son datos provisionales sujetos a revisión por INDEC.</w:t>
      </w:r>
      <w:r w:rsidDel="00000000" w:rsidR="00000000" w:rsidRPr="00000000">
        <w:rPr>
          <w:rtl w:val="0"/>
        </w:rPr>
      </w:r>
    </w:p>
    <w:p w:rsidR="00000000" w:rsidDel="00000000" w:rsidP="00000000" w:rsidRDefault="00000000" w:rsidRPr="00000000" w14:paraId="000000D6">
      <w:pPr>
        <w:numPr>
          <w:ilvl w:val="0"/>
          <w:numId w:val="4"/>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256 columnas, solo 14 con datos: </w:t>
      </w:r>
      <w:r w:rsidDel="00000000" w:rsidR="00000000" w:rsidRPr="00000000">
        <w:rPr>
          <w:rFonts w:ascii="Calibri" w:cs="Calibri" w:eastAsia="Calibri" w:hAnsi="Calibri"/>
          <w:sz w:val="24"/>
          <w:szCs w:val="24"/>
          <w:rtl w:val="0"/>
        </w:rPr>
        <w:t xml:space="preserve">El archivo tiene 256 columnas en total; solo las primeras 14 contienen datos. El resto son columnas vacías (reservadas?).</w:t>
      </w:r>
      <w:r w:rsidDel="00000000" w:rsidR="00000000" w:rsidRPr="00000000">
        <w:rPr>
          <w:rtl w:val="0"/>
        </w:rPr>
      </w:r>
    </w:p>
    <w:p w:rsidR="00000000" w:rsidDel="00000000" w:rsidP="00000000" w:rsidRDefault="00000000" w:rsidRPr="00000000" w14:paraId="000000D7">
      <w:pPr>
        <w:numPr>
          <w:ilvl w:val="0"/>
          <w:numId w:val="4"/>
        </w:numPr>
        <w:spacing w:after="20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Granularidad menor al IPI: </w:t>
      </w:r>
      <w:r w:rsidDel="00000000" w:rsidR="00000000" w:rsidRPr="00000000">
        <w:rPr>
          <w:rFonts w:ascii="Calibri" w:cs="Calibri" w:eastAsia="Calibri" w:hAnsi="Calibri"/>
          <w:sz w:val="24"/>
          <w:szCs w:val="24"/>
          <w:rtl w:val="0"/>
        </w:rPr>
        <w:t xml:space="preserve">La UCII reporta 12 bloques frente a las 85 subclases del IPI. Esto limita el cruce directo entre ambos datasets sin una tabla de equivalencias.</w:t>
      </w:r>
      <w:r w:rsidDel="00000000" w:rsidR="00000000" w:rsidRPr="00000000">
        <w:rPr>
          <w:rtl w:val="0"/>
        </w:rPr>
      </w:r>
    </w:p>
    <w:p w:rsidR="00000000" w:rsidDel="00000000" w:rsidP="00000000" w:rsidRDefault="00000000" w:rsidRPr="00000000" w14:paraId="000000D8">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9">
      <w:pPr>
        <w:pStyle w:val="Heading2"/>
        <w:keepNext w:val="0"/>
        <w:keepLines w:val="0"/>
        <w:spacing w:after="80" w:lineRule="auto"/>
        <w:jc w:val="both"/>
        <w:rPr>
          <w:rFonts w:ascii="Calibri" w:cs="Calibri" w:eastAsia="Calibri" w:hAnsi="Calibri"/>
          <w:b w:val="1"/>
          <w:bCs w:val="1"/>
          <w:sz w:val="24"/>
          <w:szCs w:val="24"/>
        </w:rPr>
      </w:pPr>
      <w:bookmarkStart w:colFirst="0" w:colLast="0" w:name="_heading=h.e2xoa5fn859w" w:id="12"/>
      <w:bookmarkEnd w:id="12"/>
      <w:r w:rsidDel="00000000" w:rsidR="00000000" w:rsidRPr="00000000">
        <w:rPr>
          <w:rtl w:val="0"/>
        </w:rPr>
      </w:r>
    </w:p>
    <w:p w:rsidR="00000000" w:rsidDel="00000000" w:rsidP="00000000" w:rsidRDefault="00000000" w:rsidRPr="00000000" w14:paraId="000000DA">
      <w:pPr>
        <w:pStyle w:val="Heading2"/>
        <w:keepNext w:val="0"/>
        <w:keepLines w:val="0"/>
        <w:spacing w:after="80" w:lineRule="auto"/>
        <w:jc w:val="both"/>
        <w:rPr>
          <w:rFonts w:ascii="Calibri" w:cs="Calibri" w:eastAsia="Calibri" w:hAnsi="Calibri"/>
          <w:b w:val="1"/>
          <w:bCs w:val="1"/>
          <w:sz w:val="24"/>
          <w:szCs w:val="24"/>
        </w:rPr>
      </w:pPr>
      <w:bookmarkStart w:colFirst="0" w:colLast="0" w:name="_heading=h.kwfb15x86yot" w:id="13"/>
      <w:bookmarkEnd w:id="13"/>
      <w:r w:rsidDel="00000000" w:rsidR="00000000" w:rsidRPr="00000000">
        <w:rPr>
          <w:rtl w:val="0"/>
        </w:rPr>
      </w:r>
    </w:p>
    <w:p w:rsidR="00000000" w:rsidDel="00000000" w:rsidP="00000000" w:rsidRDefault="00000000" w:rsidRPr="00000000" w14:paraId="000000DB">
      <w:pPr>
        <w:pStyle w:val="Heading2"/>
        <w:keepNext w:val="0"/>
        <w:keepLines w:val="0"/>
        <w:spacing w:after="80" w:lineRule="auto"/>
        <w:jc w:val="both"/>
        <w:rPr>
          <w:rFonts w:ascii="Calibri" w:cs="Calibri" w:eastAsia="Calibri" w:hAnsi="Calibri"/>
          <w:b w:val="1"/>
          <w:bCs w:val="1"/>
          <w:sz w:val="24"/>
          <w:szCs w:val="24"/>
        </w:rPr>
      </w:pPr>
      <w:bookmarkStart w:colFirst="0" w:colLast="0" w:name="_heading=h.rbrmvk8blrz3" w:id="14"/>
      <w:bookmarkEnd w:id="14"/>
      <w:r w:rsidDel="00000000" w:rsidR="00000000" w:rsidRPr="00000000">
        <w:rPr>
          <w:rFonts w:ascii="Calibri" w:cs="Calibri" w:eastAsia="Calibri" w:hAnsi="Calibri"/>
          <w:b w:val="1"/>
          <w:bCs w:val="1"/>
          <w:sz w:val="24"/>
          <w:szCs w:val="24"/>
          <w:rtl w:val="0"/>
        </w:rPr>
        <w:t xml:space="preserve">Observaciones iniciales</w:t>
      </w:r>
    </w:p>
    <w:p w:rsidR="00000000" w:rsidDel="00000000" w:rsidP="00000000" w:rsidRDefault="00000000" w:rsidRPr="00000000" w14:paraId="000000DC">
      <w:pPr>
        <w:numPr>
          <w:ilvl w:val="0"/>
          <w:numId w:val="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Nivel general promedio del periodo (2017-2026): 61,5%  —  capacidad ociosa promedio: 38,5%.</w:t>
      </w:r>
    </w:p>
    <w:p w:rsidR="00000000" w:rsidDel="00000000" w:rsidP="00000000" w:rsidRDefault="00000000" w:rsidRPr="00000000" w14:paraId="000000DD">
      <w:pPr>
        <w:numPr>
          <w:ilvl w:val="0"/>
          <w:numId w:val="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Mínimo histórico: 42,0% en abril 2020 (COVID-19). Máximo: 69,6% en agosto de 2022.</w:t>
      </w:r>
    </w:p>
    <w:p w:rsidR="00000000" w:rsidDel="00000000" w:rsidP="00000000" w:rsidRDefault="00000000" w:rsidRPr="00000000" w14:paraId="000000DE">
      <w:pPr>
        <w:numPr>
          <w:ilvl w:val="0"/>
          <w:numId w:val="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Sectores con mayor utilización de capacidad: Refinación del petróleo (78,0%), Industrias metálicas básicas (72,6%), Papel y cartón (72,0%).</w:t>
      </w:r>
    </w:p>
    <w:p w:rsidR="00000000" w:rsidDel="00000000" w:rsidP="00000000" w:rsidRDefault="00000000" w:rsidRPr="00000000" w14:paraId="000000DF">
      <w:pPr>
        <w:numPr>
          <w:ilvl w:val="0"/>
          <w:numId w:val="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Sectores con mayor capacidad ociosa: Industria automotriz (53,5% ociosa), Metalmecánica (51,3%), Textiles (50,4%).</w:t>
      </w:r>
    </w:p>
    <w:p w:rsidR="00000000" w:rsidDel="00000000" w:rsidP="00000000" w:rsidRDefault="00000000" w:rsidRPr="00000000" w14:paraId="000000E0">
      <w:pPr>
        <w:numPr>
          <w:ilvl w:val="0"/>
          <w:numId w:val="7"/>
        </w:numPr>
        <w:spacing w:after="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brecha entre el sector de mayor y menor utilización supera los 30 puntos porcentuales, lo que valida la hipótesis del proyecto.</w:t>
      </w:r>
    </w:p>
    <w:p w:rsidR="00000000" w:rsidDel="00000000" w:rsidP="00000000" w:rsidRDefault="00000000" w:rsidRPr="00000000" w14:paraId="000000E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2">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3">
      <w:pPr>
        <w:pStyle w:val="Heading1"/>
        <w:keepNext w:val="0"/>
        <w:keepLines w:val="0"/>
        <w:spacing w:before="480" w:lineRule="auto"/>
        <w:jc w:val="both"/>
        <w:rPr>
          <w:rFonts w:ascii="Calibri" w:cs="Calibri" w:eastAsia="Calibri" w:hAnsi="Calibri"/>
          <w:b w:val="1"/>
          <w:bCs w:val="1"/>
          <w:sz w:val="24"/>
          <w:szCs w:val="24"/>
        </w:rPr>
      </w:pPr>
      <w:bookmarkStart w:colFirst="0" w:colLast="0" w:name="_heading=h.bbrwgqymhvuo" w:id="15"/>
      <w:bookmarkEnd w:id="15"/>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Calibri" w:cs="Calibri" w:eastAsia="Calibri" w:hAnsi="Calibri"/>
          <w:b w:val="1"/>
          <w:bCs w:val="1"/>
          <w:sz w:val="24"/>
          <w:szCs w:val="24"/>
        </w:rPr>
      </w:pPr>
      <w:bookmarkStart w:colFirst="0" w:colLast="0" w:name="_heading=h.o183pwm74l16" w:id="16"/>
      <w:bookmarkEnd w:id="16"/>
      <w:r w:rsidDel="00000000" w:rsidR="00000000" w:rsidRPr="00000000">
        <w:rPr>
          <w:rFonts w:ascii="Calibri" w:cs="Calibri" w:eastAsia="Calibri" w:hAnsi="Calibri"/>
          <w:b w:val="1"/>
          <w:bCs w:val="1"/>
          <w:sz w:val="24"/>
          <w:szCs w:val="24"/>
          <w:rtl w:val="0"/>
        </w:rPr>
        <w:t xml:space="preserve">Dataset 3  —  Exportaciones totales (tendencia general) — ICA/INDEC</w:t>
      </w:r>
    </w:p>
    <w:p w:rsidR="00000000" w:rsidDel="00000000" w:rsidP="00000000" w:rsidRDefault="00000000" w:rsidRPr="00000000" w14:paraId="000000E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Calibri" w:cs="Calibri" w:eastAsia="Calibri" w:hAnsi="Calibri"/>
          <w:b w:val="1"/>
          <w:bCs w:val="1"/>
          <w:sz w:val="24"/>
          <w:szCs w:val="24"/>
        </w:rPr>
      </w:pPr>
      <w:bookmarkStart w:colFirst="0" w:colLast="0" w:name="_heading=h.qb7j59okqla2" w:id="17"/>
      <w:bookmarkEnd w:id="17"/>
      <w:r w:rsidDel="00000000" w:rsidR="00000000" w:rsidRPr="00000000">
        <w:rPr>
          <w:rFonts w:ascii="Calibri" w:cs="Calibri" w:eastAsia="Calibri" w:hAnsi="Calibri"/>
          <w:b w:val="1"/>
          <w:bCs w:val="1"/>
          <w:sz w:val="24"/>
          <w:szCs w:val="24"/>
          <w:rtl w:val="0"/>
        </w:rPr>
        <w:t xml:space="preserve">Información del dataset</w:t>
      </w:r>
    </w:p>
    <w:tbl>
      <w:tblPr>
        <w:tblStyle w:val="Table7"/>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665"/>
        <w:tblGridChange w:id="0">
          <w:tblGrid>
            <w:gridCol w:w="4245"/>
            <w:gridCol w:w="466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0.0" w:type="dxa"/>
              <w:left w:w="100.0" w:type="dxa"/>
              <w:bottom w:w="0.0" w:type="dxa"/>
              <w:right w:w="100.0" w:type="dxa"/>
            </w:tcMar>
            <w:vAlign w:val="top"/>
          </w:tcPr>
          <w:p w:rsidR="00000000" w:rsidDel="00000000" w:rsidP="00000000" w:rsidRDefault="00000000" w:rsidRPr="00000000" w14:paraId="000000E6">
            <w:pPr>
              <w:pStyle w:val="Heading1"/>
              <w:keepNext w:val="0"/>
              <w:keepLines w:val="0"/>
              <w:spacing w:after="0" w:before="0" w:lineRule="auto"/>
              <w:jc w:val="both"/>
              <w:rPr>
                <w:rFonts w:ascii="Calibri" w:cs="Calibri" w:eastAsia="Calibri" w:hAnsi="Calibri"/>
                <w:b w:val="1"/>
                <w:bCs w:val="1"/>
                <w:sz w:val="24"/>
                <w:szCs w:val="24"/>
              </w:rPr>
            </w:pPr>
            <w:bookmarkStart w:colFirst="0" w:colLast="0" w:name="_heading=h.u0j8tohjxiwj" w:id="18"/>
            <w:bookmarkEnd w:id="18"/>
            <w:r w:rsidDel="00000000" w:rsidR="00000000" w:rsidRPr="00000000">
              <w:rPr>
                <w:rFonts w:ascii="Calibri" w:cs="Calibri" w:eastAsia="Calibri" w:hAnsi="Calibri"/>
                <w:b w:val="1"/>
                <w:bCs w:val="1"/>
                <w:sz w:val="24"/>
                <w:szCs w:val="24"/>
                <w:rtl w:val="0"/>
              </w:rPr>
              <w:t xml:space="preserve">Atributo</w:t>
            </w:r>
          </w:p>
        </w:tc>
        <w:tc>
          <w:tcPr>
            <w:tcBorders>
              <w:top w:color="000000" w:space="0" w:sz="8" w:val="single"/>
              <w:left w:color="000000" w:space="0" w:sz="8" w:val="single"/>
              <w:bottom w:color="000000" w:space="0" w:sz="8" w:val="single"/>
              <w:right w:color="000000" w:space="0" w:sz="8" w:val="single"/>
            </w:tcBorders>
            <w:shd w:fill="6fa8dc" w:val="clear"/>
            <w:tcMar>
              <w:top w:w="0.0" w:type="dxa"/>
              <w:left w:w="100.0" w:type="dxa"/>
              <w:bottom w:w="0.0" w:type="dxa"/>
              <w:right w:w="100.0" w:type="dxa"/>
            </w:tcMar>
            <w:vAlign w:val="top"/>
          </w:tcPr>
          <w:p w:rsidR="00000000" w:rsidDel="00000000" w:rsidP="00000000" w:rsidRDefault="00000000" w:rsidRPr="00000000" w14:paraId="000000E7">
            <w:pPr>
              <w:pStyle w:val="Heading1"/>
              <w:keepNext w:val="0"/>
              <w:keepLines w:val="0"/>
              <w:spacing w:after="0" w:before="0" w:lineRule="auto"/>
              <w:jc w:val="both"/>
              <w:rPr>
                <w:rFonts w:ascii="Calibri" w:cs="Calibri" w:eastAsia="Calibri" w:hAnsi="Calibri"/>
                <w:b w:val="1"/>
                <w:bCs w:val="1"/>
                <w:sz w:val="24"/>
                <w:szCs w:val="24"/>
              </w:rPr>
            </w:pPr>
            <w:bookmarkStart w:colFirst="0" w:colLast="0" w:name="_heading=h.u0j8tohjxiwj" w:id="18"/>
            <w:bookmarkEnd w:id="18"/>
            <w:r w:rsidDel="00000000" w:rsidR="00000000" w:rsidRPr="00000000">
              <w:rPr>
                <w:rFonts w:ascii="Calibri" w:cs="Calibri" w:eastAsia="Calibri" w:hAnsi="Calibri"/>
                <w:b w:val="1"/>
                <w:bCs w:val="1"/>
                <w:sz w:val="24"/>
                <w:szCs w:val="24"/>
                <w:rtl w:val="0"/>
              </w:rPr>
              <w:t xml:space="preserve">Valor</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pStyle w:val="Heading1"/>
              <w:keepNext w:val="0"/>
              <w:keepLines w:val="0"/>
              <w:spacing w:after="0" w:before="0" w:lineRule="auto"/>
              <w:jc w:val="both"/>
              <w:rPr>
                <w:rFonts w:ascii="Calibri" w:cs="Calibri" w:eastAsia="Calibri" w:hAnsi="Calibri"/>
                <w:sz w:val="24"/>
                <w:szCs w:val="24"/>
              </w:rPr>
            </w:pPr>
            <w:bookmarkStart w:colFirst="0" w:colLast="0" w:name="_heading=h.u0j8tohjxiwj" w:id="18"/>
            <w:bookmarkEnd w:id="18"/>
            <w:r w:rsidDel="00000000" w:rsidR="00000000" w:rsidRPr="00000000">
              <w:rPr>
                <w:rFonts w:ascii="Calibri" w:cs="Calibri" w:eastAsia="Calibri" w:hAnsi="Calibri"/>
                <w:sz w:val="24"/>
                <w:szCs w:val="24"/>
                <w:rtl w:val="0"/>
              </w:rPr>
              <w:t xml:space="preserve">Dataset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pStyle w:val="Heading1"/>
              <w:keepNext w:val="0"/>
              <w:keepLines w:val="0"/>
              <w:spacing w:after="0" w:before="0" w:lineRule="auto"/>
              <w:jc w:val="both"/>
              <w:rPr>
                <w:rFonts w:ascii="Calibri" w:cs="Calibri" w:eastAsia="Calibri" w:hAnsi="Calibri"/>
                <w:sz w:val="24"/>
                <w:szCs w:val="24"/>
              </w:rPr>
            </w:pPr>
            <w:bookmarkStart w:colFirst="0" w:colLast="0" w:name="_heading=h.u0j8tohjxiwj" w:id="18"/>
            <w:bookmarkEnd w:id="18"/>
            <w:r w:rsidDel="00000000" w:rsidR="00000000" w:rsidRPr="00000000">
              <w:rPr>
                <w:rFonts w:ascii="Calibri" w:cs="Calibri" w:eastAsia="Calibri" w:hAnsi="Calibri"/>
                <w:sz w:val="24"/>
                <w:szCs w:val="24"/>
                <w:rtl w:val="0"/>
              </w:rPr>
              <w:t xml:space="preserve">Exportaciones mensuales, serie desestacionalizada</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pStyle w:val="Heading1"/>
              <w:keepNext w:val="0"/>
              <w:keepLines w:val="0"/>
              <w:spacing w:after="0" w:before="0" w:lineRule="auto"/>
              <w:jc w:val="both"/>
              <w:rPr>
                <w:rFonts w:ascii="Calibri" w:cs="Calibri" w:eastAsia="Calibri" w:hAnsi="Calibri"/>
                <w:sz w:val="24"/>
                <w:szCs w:val="24"/>
              </w:rPr>
            </w:pPr>
            <w:bookmarkStart w:colFirst="0" w:colLast="0" w:name="_heading=h.u0j8tohjxiwj" w:id="18"/>
            <w:bookmarkEnd w:id="18"/>
            <w:r w:rsidDel="00000000" w:rsidR="00000000" w:rsidRPr="00000000">
              <w:rPr>
                <w:rFonts w:ascii="Calibri" w:cs="Calibri" w:eastAsia="Calibri" w:hAnsi="Calibri"/>
                <w:sz w:val="24"/>
                <w:szCs w:val="24"/>
                <w:rtl w:val="0"/>
              </w:rPr>
              <w:t xml:space="preserve">Fuente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pStyle w:val="Heading1"/>
              <w:keepNext w:val="0"/>
              <w:keepLines w:val="0"/>
              <w:spacing w:after="0" w:before="0" w:lineRule="auto"/>
              <w:jc w:val="both"/>
              <w:rPr>
                <w:rFonts w:ascii="Calibri" w:cs="Calibri" w:eastAsia="Calibri" w:hAnsi="Calibri"/>
                <w:sz w:val="24"/>
                <w:szCs w:val="24"/>
              </w:rPr>
            </w:pPr>
            <w:bookmarkStart w:colFirst="0" w:colLast="0" w:name="_heading=h.u0j8tohjxiwj" w:id="18"/>
            <w:bookmarkEnd w:id="18"/>
            <w:r w:rsidDel="00000000" w:rsidR="00000000" w:rsidRPr="00000000">
              <w:rPr>
                <w:rFonts w:ascii="Calibri" w:cs="Calibri" w:eastAsia="Calibri" w:hAnsi="Calibri"/>
                <w:sz w:val="24"/>
                <w:szCs w:val="24"/>
                <w:rtl w:val="0"/>
              </w:rPr>
              <w:t xml:space="preserve">INDEC – Dirección Nacional de Estadísticas del Sector Externo</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pStyle w:val="Heading1"/>
              <w:keepNext w:val="0"/>
              <w:keepLines w:val="0"/>
              <w:spacing w:after="0" w:before="0" w:lineRule="auto"/>
              <w:jc w:val="both"/>
              <w:rPr>
                <w:rFonts w:ascii="Calibri" w:cs="Calibri" w:eastAsia="Calibri" w:hAnsi="Calibri"/>
                <w:sz w:val="24"/>
                <w:szCs w:val="24"/>
              </w:rPr>
            </w:pPr>
            <w:bookmarkStart w:colFirst="0" w:colLast="0" w:name="_heading=h.u0j8tohjxiwj" w:id="18"/>
            <w:bookmarkEnd w:id="18"/>
            <w:r w:rsidDel="00000000" w:rsidR="00000000" w:rsidRPr="00000000">
              <w:rPr>
                <w:rFonts w:ascii="Calibri" w:cs="Calibri" w:eastAsia="Calibri" w:hAnsi="Calibri"/>
                <w:sz w:val="24"/>
                <w:szCs w:val="24"/>
                <w:rtl w:val="0"/>
              </w:rPr>
              <w:t xml:space="preserve">Archivo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pStyle w:val="Heading1"/>
              <w:keepNext w:val="0"/>
              <w:keepLines w:val="0"/>
              <w:spacing w:after="0" w:before="0" w:lineRule="auto"/>
              <w:jc w:val="both"/>
              <w:rPr>
                <w:rFonts w:ascii="Calibri" w:cs="Calibri" w:eastAsia="Calibri" w:hAnsi="Calibri"/>
                <w:sz w:val="24"/>
                <w:szCs w:val="24"/>
              </w:rPr>
            </w:pPr>
            <w:bookmarkStart w:colFirst="0" w:colLast="0" w:name="_heading=h.u0j8tohjxiwj" w:id="18"/>
            <w:bookmarkEnd w:id="18"/>
            <w:r w:rsidDel="00000000" w:rsidR="00000000" w:rsidRPr="00000000">
              <w:rPr>
                <w:rFonts w:ascii="Calibri" w:cs="Calibri" w:eastAsia="Calibri" w:hAnsi="Calibri"/>
                <w:sz w:val="24"/>
                <w:szCs w:val="24"/>
                <w:rtl w:val="0"/>
              </w:rPr>
              <w:t xml:space="preserve">expo desestacionalizada 1996_2026.xls — hoja expo desestacionalizada</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pStyle w:val="Heading1"/>
              <w:keepNext w:val="0"/>
              <w:keepLines w:val="0"/>
              <w:spacing w:after="0" w:before="0" w:lineRule="auto"/>
              <w:jc w:val="both"/>
              <w:rPr>
                <w:rFonts w:ascii="Calibri" w:cs="Calibri" w:eastAsia="Calibri" w:hAnsi="Calibri"/>
                <w:sz w:val="24"/>
                <w:szCs w:val="24"/>
              </w:rPr>
            </w:pPr>
            <w:bookmarkStart w:colFirst="0" w:colLast="0" w:name="_heading=h.u0j8tohjxiwj" w:id="18"/>
            <w:bookmarkEnd w:id="18"/>
            <w:r w:rsidDel="00000000" w:rsidR="00000000" w:rsidRPr="00000000">
              <w:rPr>
                <w:rFonts w:ascii="Calibri" w:cs="Calibri" w:eastAsia="Calibri" w:hAnsi="Calibri"/>
                <w:sz w:val="24"/>
                <w:szCs w:val="24"/>
                <w:rtl w:val="0"/>
              </w:rPr>
              <w:t xml:space="preserve">Registros (filas)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pStyle w:val="Heading1"/>
              <w:keepNext w:val="0"/>
              <w:keepLines w:val="0"/>
              <w:spacing w:after="0" w:before="0" w:lineRule="auto"/>
              <w:jc w:val="both"/>
              <w:rPr>
                <w:rFonts w:ascii="Calibri" w:cs="Calibri" w:eastAsia="Calibri" w:hAnsi="Calibri"/>
                <w:sz w:val="24"/>
                <w:szCs w:val="24"/>
              </w:rPr>
            </w:pPr>
            <w:bookmarkStart w:colFirst="0" w:colLast="0" w:name="_heading=h.u0j8tohjxiwj" w:id="18"/>
            <w:bookmarkEnd w:id="18"/>
            <w:r w:rsidDel="00000000" w:rsidR="00000000" w:rsidRPr="00000000">
              <w:rPr>
                <w:rFonts w:ascii="Calibri" w:cs="Calibri" w:eastAsia="Calibri" w:hAnsi="Calibri"/>
                <w:sz w:val="24"/>
                <w:szCs w:val="24"/>
                <w:rtl w:val="0"/>
              </w:rPr>
              <w:t xml:space="preserve">31 (una por año, 1996–2026)</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pStyle w:val="Heading1"/>
              <w:keepNext w:val="0"/>
              <w:keepLines w:val="0"/>
              <w:spacing w:after="0" w:before="0" w:lineRule="auto"/>
              <w:jc w:val="both"/>
              <w:rPr>
                <w:rFonts w:ascii="Calibri" w:cs="Calibri" w:eastAsia="Calibri" w:hAnsi="Calibri"/>
                <w:sz w:val="24"/>
                <w:szCs w:val="24"/>
              </w:rPr>
            </w:pPr>
            <w:bookmarkStart w:colFirst="0" w:colLast="0" w:name="_heading=h.u0j8tohjxiwj" w:id="18"/>
            <w:bookmarkEnd w:id="18"/>
            <w:r w:rsidDel="00000000" w:rsidR="00000000" w:rsidRPr="00000000">
              <w:rPr>
                <w:rFonts w:ascii="Calibri" w:cs="Calibri" w:eastAsia="Calibri" w:hAnsi="Calibri"/>
                <w:sz w:val="24"/>
                <w:szCs w:val="24"/>
                <w:rtl w:val="0"/>
              </w:rPr>
              <w:t xml:space="preserve">Variables (cols.)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pStyle w:val="Heading1"/>
              <w:keepNext w:val="0"/>
              <w:keepLines w:val="0"/>
              <w:spacing w:after="0" w:before="0" w:lineRule="auto"/>
              <w:jc w:val="both"/>
              <w:rPr>
                <w:rFonts w:ascii="Calibri" w:cs="Calibri" w:eastAsia="Calibri" w:hAnsi="Calibri"/>
                <w:sz w:val="24"/>
                <w:szCs w:val="24"/>
              </w:rPr>
            </w:pPr>
            <w:bookmarkStart w:colFirst="0" w:colLast="0" w:name="_heading=h.u0j8tohjxiwj" w:id="18"/>
            <w:bookmarkEnd w:id="18"/>
            <w:r w:rsidDel="00000000" w:rsidR="00000000" w:rsidRPr="00000000">
              <w:rPr>
                <w:rFonts w:ascii="Calibri" w:cs="Calibri" w:eastAsia="Calibri" w:hAnsi="Calibri"/>
                <w:sz w:val="24"/>
                <w:szCs w:val="24"/>
                <w:rtl w:val="0"/>
              </w:rPr>
              <w:t xml:space="preserve">14 (Año + 12 meses + total anual)</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pStyle w:val="Heading1"/>
              <w:keepNext w:val="0"/>
              <w:keepLines w:val="0"/>
              <w:spacing w:after="0" w:before="0" w:lineRule="auto"/>
              <w:jc w:val="both"/>
              <w:rPr>
                <w:rFonts w:ascii="Calibri" w:cs="Calibri" w:eastAsia="Calibri" w:hAnsi="Calibri"/>
                <w:sz w:val="24"/>
                <w:szCs w:val="24"/>
              </w:rPr>
            </w:pPr>
            <w:bookmarkStart w:colFirst="0" w:colLast="0" w:name="_heading=h.u0j8tohjxiwj" w:id="18"/>
            <w:bookmarkEnd w:id="18"/>
            <w:r w:rsidDel="00000000" w:rsidR="00000000" w:rsidRPr="00000000">
              <w:rPr>
                <w:rFonts w:ascii="Calibri" w:cs="Calibri" w:eastAsia="Calibri" w:hAnsi="Calibri"/>
                <w:sz w:val="24"/>
                <w:szCs w:val="24"/>
                <w:rtl w:val="0"/>
              </w:rPr>
              <w:t xml:space="preserve">Período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pStyle w:val="Heading1"/>
              <w:keepNext w:val="0"/>
              <w:keepLines w:val="0"/>
              <w:spacing w:after="0" w:before="0" w:lineRule="auto"/>
              <w:jc w:val="both"/>
              <w:rPr>
                <w:rFonts w:ascii="Calibri" w:cs="Calibri" w:eastAsia="Calibri" w:hAnsi="Calibri"/>
                <w:sz w:val="24"/>
                <w:szCs w:val="24"/>
              </w:rPr>
            </w:pPr>
            <w:bookmarkStart w:colFirst="0" w:colLast="0" w:name="_heading=h.u0j8tohjxiwj" w:id="18"/>
            <w:bookmarkEnd w:id="18"/>
            <w:r w:rsidDel="00000000" w:rsidR="00000000" w:rsidRPr="00000000">
              <w:rPr>
                <w:rFonts w:ascii="Calibri" w:cs="Calibri" w:eastAsia="Calibri" w:hAnsi="Calibri"/>
                <w:sz w:val="24"/>
                <w:szCs w:val="24"/>
                <w:rtl w:val="0"/>
              </w:rPr>
              <w:t xml:space="preserve">Enero 1996 – Marzo 2026</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pStyle w:val="Heading1"/>
              <w:keepNext w:val="0"/>
              <w:keepLines w:val="0"/>
              <w:spacing w:after="0" w:before="0" w:lineRule="auto"/>
              <w:jc w:val="both"/>
              <w:rPr>
                <w:rFonts w:ascii="Calibri" w:cs="Calibri" w:eastAsia="Calibri" w:hAnsi="Calibri"/>
                <w:sz w:val="24"/>
                <w:szCs w:val="24"/>
              </w:rPr>
            </w:pPr>
            <w:bookmarkStart w:colFirst="0" w:colLast="0" w:name="_heading=h.u0j8tohjxiwj" w:id="18"/>
            <w:bookmarkEnd w:id="18"/>
            <w:r w:rsidDel="00000000" w:rsidR="00000000" w:rsidRPr="00000000">
              <w:rPr>
                <w:rFonts w:ascii="Calibri" w:cs="Calibri" w:eastAsia="Calibri" w:hAnsi="Calibri"/>
                <w:sz w:val="24"/>
                <w:szCs w:val="24"/>
                <w:rtl w:val="0"/>
              </w:rPr>
              <w:t xml:space="preserve">Frecuencia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pStyle w:val="Heading1"/>
              <w:keepNext w:val="0"/>
              <w:keepLines w:val="0"/>
              <w:spacing w:after="0" w:before="0" w:lineRule="auto"/>
              <w:jc w:val="both"/>
              <w:rPr>
                <w:rFonts w:ascii="Calibri" w:cs="Calibri" w:eastAsia="Calibri" w:hAnsi="Calibri"/>
                <w:sz w:val="24"/>
                <w:szCs w:val="24"/>
              </w:rPr>
            </w:pPr>
            <w:bookmarkStart w:colFirst="0" w:colLast="0" w:name="_heading=h.u0j8tohjxiwj" w:id="18"/>
            <w:bookmarkEnd w:id="18"/>
            <w:r w:rsidDel="00000000" w:rsidR="00000000" w:rsidRPr="00000000">
              <w:rPr>
                <w:rFonts w:ascii="Calibri" w:cs="Calibri" w:eastAsia="Calibri" w:hAnsi="Calibri"/>
                <w:sz w:val="24"/>
                <w:szCs w:val="24"/>
                <w:rtl w:val="0"/>
              </w:rPr>
              <w:t xml:space="preserve">Mensual (desestacionalizada)</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pStyle w:val="Heading1"/>
              <w:keepNext w:val="0"/>
              <w:keepLines w:val="0"/>
              <w:spacing w:after="0" w:before="0" w:lineRule="auto"/>
              <w:jc w:val="both"/>
              <w:rPr>
                <w:rFonts w:ascii="Calibri" w:cs="Calibri" w:eastAsia="Calibri" w:hAnsi="Calibri"/>
                <w:sz w:val="24"/>
                <w:szCs w:val="24"/>
              </w:rPr>
            </w:pPr>
            <w:bookmarkStart w:colFirst="0" w:colLast="0" w:name="_heading=h.u0j8tohjxiwj" w:id="18"/>
            <w:bookmarkEnd w:id="18"/>
            <w:r w:rsidDel="00000000" w:rsidR="00000000" w:rsidRPr="00000000">
              <w:rPr>
                <w:rFonts w:ascii="Calibri" w:cs="Calibri" w:eastAsia="Calibri" w:hAnsi="Calibri"/>
                <w:sz w:val="24"/>
                <w:szCs w:val="24"/>
                <w:rtl w:val="0"/>
              </w:rPr>
              <w:t xml:space="preserve">Unidad de medida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pStyle w:val="Heading1"/>
              <w:keepNext w:val="0"/>
              <w:keepLines w:val="0"/>
              <w:spacing w:after="0" w:before="0" w:lineRule="auto"/>
              <w:jc w:val="both"/>
              <w:rPr>
                <w:rFonts w:ascii="Calibri" w:cs="Calibri" w:eastAsia="Calibri" w:hAnsi="Calibri"/>
                <w:sz w:val="24"/>
                <w:szCs w:val="24"/>
              </w:rPr>
            </w:pPr>
            <w:bookmarkStart w:colFirst="0" w:colLast="0" w:name="_heading=h.u0j8tohjxiwj" w:id="18"/>
            <w:bookmarkEnd w:id="18"/>
            <w:r w:rsidDel="00000000" w:rsidR="00000000" w:rsidRPr="00000000">
              <w:rPr>
                <w:rFonts w:ascii="Calibri" w:cs="Calibri" w:eastAsia="Calibri" w:hAnsi="Calibri"/>
                <w:sz w:val="24"/>
                <w:szCs w:val="24"/>
                <w:rtl w:val="0"/>
              </w:rPr>
              <w:t xml:space="preserve">Millones de USD</w:t>
            </w:r>
          </w:p>
        </w:tc>
      </w:tr>
    </w:tbl>
    <w:p w:rsidR="00000000" w:rsidDel="00000000" w:rsidP="00000000" w:rsidRDefault="00000000" w:rsidRPr="00000000" w14:paraId="000000F8">
      <w:pPr>
        <w:pStyle w:val="Heading1"/>
        <w:keepNext w:val="0"/>
        <w:keepLines w:val="0"/>
        <w:spacing w:after="0" w:before="0" w:lineRule="auto"/>
        <w:jc w:val="both"/>
        <w:rPr>
          <w:rFonts w:ascii="Calibri" w:cs="Calibri" w:eastAsia="Calibri" w:hAnsi="Calibri"/>
          <w:b w:val="1"/>
          <w:bCs w:val="1"/>
          <w:sz w:val="24"/>
          <w:szCs w:val="24"/>
        </w:rPr>
      </w:pPr>
      <w:bookmarkStart w:colFirst="0" w:colLast="0" w:name="_heading=h.atzys0g2258v" w:id="19"/>
      <w:bookmarkEnd w:id="19"/>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F9">
      <w:pPr>
        <w:pStyle w:val="Heading1"/>
        <w:keepNext w:val="0"/>
        <w:keepLines w:val="0"/>
        <w:spacing w:before="480" w:lineRule="auto"/>
        <w:jc w:val="both"/>
        <w:rPr>
          <w:rFonts w:ascii="Calibri" w:cs="Calibri" w:eastAsia="Calibri" w:hAnsi="Calibri"/>
          <w:b w:val="1"/>
          <w:bCs w:val="1"/>
          <w:sz w:val="24"/>
          <w:szCs w:val="24"/>
        </w:rPr>
      </w:pPr>
      <w:bookmarkStart w:colFirst="0" w:colLast="0" w:name="_heading=h.1mmw76ea07c" w:id="20"/>
      <w:bookmarkEnd w:id="20"/>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880"/>
        <w:gridCol w:w="3075"/>
        <w:tblGridChange w:id="0">
          <w:tblGrid>
            <w:gridCol w:w="2925"/>
            <w:gridCol w:w="2880"/>
            <w:gridCol w:w="307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4f81bd" w:val="clear"/>
            <w:tcMar>
              <w:top w:w="0.0" w:type="dxa"/>
              <w:left w:w="100.0" w:type="dxa"/>
              <w:bottom w:w="0.0" w:type="dxa"/>
              <w:right w:w="100.0" w:type="dxa"/>
            </w:tcMar>
            <w:vAlign w:val="top"/>
          </w:tcPr>
          <w:p w:rsidR="00000000" w:rsidDel="00000000" w:rsidP="00000000" w:rsidRDefault="00000000" w:rsidRPr="00000000" w14:paraId="000000FA">
            <w:pPr>
              <w:pStyle w:val="Heading1"/>
              <w:keepNext w:val="0"/>
              <w:keepLines w:val="0"/>
              <w:spacing w:after="0" w:before="0" w:line="276" w:lineRule="auto"/>
              <w:jc w:val="both"/>
              <w:rPr>
                <w:rFonts w:ascii="Calibri" w:cs="Calibri" w:eastAsia="Calibri" w:hAnsi="Calibri"/>
                <w:b w:val="1"/>
                <w:bCs w:val="1"/>
                <w:color w:val="ffffff"/>
                <w:sz w:val="24"/>
                <w:szCs w:val="24"/>
              </w:rPr>
            </w:pPr>
            <w:bookmarkStart w:colFirst="0" w:colLast="0" w:name="_heading=h.1mmw76ea07c" w:id="20"/>
            <w:bookmarkEnd w:id="20"/>
            <w:r w:rsidDel="00000000" w:rsidR="00000000" w:rsidRPr="00000000">
              <w:rPr>
                <w:rFonts w:ascii="Calibri" w:cs="Calibri" w:eastAsia="Calibri" w:hAnsi="Calibri"/>
                <w:b w:val="1"/>
                <w:bCs w:val="1"/>
                <w:color w:val="ffffff"/>
                <w:sz w:val="24"/>
                <w:szCs w:val="24"/>
                <w:rtl w:val="0"/>
              </w:rPr>
              <w:t xml:space="preserve">Variable</w:t>
            </w:r>
          </w:p>
        </w:tc>
        <w:tc>
          <w:tcPr>
            <w:tcBorders>
              <w:top w:color="000000" w:space="0" w:sz="6" w:val="single"/>
              <w:left w:color="000000" w:space="0" w:sz="0" w:val="nil"/>
              <w:bottom w:color="000000" w:space="0" w:sz="6" w:val="single"/>
              <w:right w:color="000000" w:space="0" w:sz="6" w:val="single"/>
            </w:tcBorders>
            <w:shd w:fill="4f81bd" w:val="clear"/>
            <w:tcMar>
              <w:top w:w="0.0" w:type="dxa"/>
              <w:left w:w="100.0" w:type="dxa"/>
              <w:bottom w:w="0.0" w:type="dxa"/>
              <w:right w:w="100.0" w:type="dxa"/>
            </w:tcMar>
            <w:vAlign w:val="top"/>
          </w:tcPr>
          <w:p w:rsidR="00000000" w:rsidDel="00000000" w:rsidP="00000000" w:rsidRDefault="00000000" w:rsidRPr="00000000" w14:paraId="000000FB">
            <w:pPr>
              <w:pStyle w:val="Heading1"/>
              <w:keepNext w:val="0"/>
              <w:keepLines w:val="0"/>
              <w:spacing w:after="0" w:before="0" w:line="276" w:lineRule="auto"/>
              <w:jc w:val="both"/>
              <w:rPr>
                <w:rFonts w:ascii="Calibri" w:cs="Calibri" w:eastAsia="Calibri" w:hAnsi="Calibri"/>
                <w:b w:val="1"/>
                <w:bCs w:val="1"/>
                <w:color w:val="ffffff"/>
                <w:sz w:val="24"/>
                <w:szCs w:val="24"/>
              </w:rPr>
            </w:pPr>
            <w:bookmarkStart w:colFirst="0" w:colLast="0" w:name="_heading=h.1mmw76ea07c" w:id="20"/>
            <w:bookmarkEnd w:id="20"/>
            <w:r w:rsidDel="00000000" w:rsidR="00000000" w:rsidRPr="00000000">
              <w:rPr>
                <w:rFonts w:ascii="Calibri" w:cs="Calibri" w:eastAsia="Calibri" w:hAnsi="Calibri"/>
                <w:b w:val="1"/>
                <w:bCs w:val="1"/>
                <w:color w:val="ffffff"/>
                <w:sz w:val="24"/>
                <w:szCs w:val="24"/>
                <w:rtl w:val="0"/>
              </w:rPr>
              <w:t xml:space="preserve">Tipo de dato</w:t>
            </w:r>
          </w:p>
        </w:tc>
        <w:tc>
          <w:tcPr>
            <w:tcBorders>
              <w:top w:color="000000" w:space="0" w:sz="6" w:val="single"/>
              <w:left w:color="000000" w:space="0" w:sz="0" w:val="nil"/>
              <w:bottom w:color="000000" w:space="0" w:sz="6" w:val="single"/>
              <w:right w:color="000000" w:space="0" w:sz="6" w:val="single"/>
            </w:tcBorders>
            <w:shd w:fill="4f81bd" w:val="clear"/>
            <w:tcMar>
              <w:top w:w="0.0" w:type="dxa"/>
              <w:left w:w="100.0" w:type="dxa"/>
              <w:bottom w:w="0.0" w:type="dxa"/>
              <w:right w:w="100.0" w:type="dxa"/>
            </w:tcMar>
            <w:vAlign w:val="top"/>
          </w:tcPr>
          <w:p w:rsidR="00000000" w:rsidDel="00000000" w:rsidP="00000000" w:rsidRDefault="00000000" w:rsidRPr="00000000" w14:paraId="000000FC">
            <w:pPr>
              <w:pStyle w:val="Heading1"/>
              <w:keepNext w:val="0"/>
              <w:keepLines w:val="0"/>
              <w:spacing w:after="0" w:before="0" w:line="276" w:lineRule="auto"/>
              <w:jc w:val="both"/>
              <w:rPr>
                <w:rFonts w:ascii="Calibri" w:cs="Calibri" w:eastAsia="Calibri" w:hAnsi="Calibri"/>
                <w:b w:val="1"/>
                <w:bCs w:val="1"/>
                <w:color w:val="ffffff"/>
                <w:sz w:val="24"/>
                <w:szCs w:val="24"/>
              </w:rPr>
            </w:pPr>
            <w:bookmarkStart w:colFirst="0" w:colLast="0" w:name="_heading=h.1mmw76ea07c" w:id="20"/>
            <w:bookmarkEnd w:id="20"/>
            <w:r w:rsidDel="00000000" w:rsidR="00000000" w:rsidRPr="00000000">
              <w:rPr>
                <w:rFonts w:ascii="Calibri" w:cs="Calibri" w:eastAsia="Calibri" w:hAnsi="Calibri"/>
                <w:b w:val="1"/>
                <w:bCs w:val="1"/>
                <w:color w:val="ffffff"/>
                <w:sz w:val="24"/>
                <w:szCs w:val="24"/>
                <w:rtl w:val="0"/>
              </w:rPr>
              <w:t xml:space="preserve">Descripción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D">
            <w:pPr>
              <w:pStyle w:val="Heading1"/>
              <w:keepNext w:val="0"/>
              <w:keepLines w:val="0"/>
              <w:spacing w:after="0" w:before="0" w:line="276" w:lineRule="auto"/>
              <w:jc w:val="both"/>
              <w:rPr>
                <w:rFonts w:ascii="Calibri" w:cs="Calibri" w:eastAsia="Calibri" w:hAnsi="Calibri"/>
                <w:sz w:val="24"/>
                <w:szCs w:val="24"/>
              </w:rPr>
            </w:pPr>
            <w:bookmarkStart w:colFirst="0" w:colLast="0" w:name="_heading=h.1mmw76ea07c" w:id="20"/>
            <w:bookmarkEnd w:id="20"/>
            <w:r w:rsidDel="00000000" w:rsidR="00000000" w:rsidRPr="00000000">
              <w:rPr>
                <w:rFonts w:ascii="Calibri" w:cs="Calibri" w:eastAsia="Calibri" w:hAnsi="Calibri"/>
                <w:sz w:val="24"/>
                <w:szCs w:val="24"/>
                <w:rtl w:val="0"/>
              </w:rPr>
              <w:t xml:space="preserve">Año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pStyle w:val="Heading1"/>
              <w:keepNext w:val="0"/>
              <w:keepLines w:val="0"/>
              <w:spacing w:after="0" w:before="0" w:line="276" w:lineRule="auto"/>
              <w:jc w:val="both"/>
              <w:rPr>
                <w:rFonts w:ascii="Calibri" w:cs="Calibri" w:eastAsia="Calibri" w:hAnsi="Calibri"/>
                <w:sz w:val="24"/>
                <w:szCs w:val="24"/>
              </w:rPr>
            </w:pPr>
            <w:bookmarkStart w:colFirst="0" w:colLast="0" w:name="_heading=h.1mmw76ea07c" w:id="20"/>
            <w:bookmarkEnd w:id="20"/>
            <w:r w:rsidDel="00000000" w:rsidR="00000000" w:rsidRPr="00000000">
              <w:rPr>
                <w:rFonts w:ascii="Calibri" w:cs="Calibri" w:eastAsia="Calibri" w:hAnsi="Calibri"/>
                <w:sz w:val="24"/>
                <w:szCs w:val="24"/>
                <w:rtl w:val="0"/>
              </w:rPr>
              <w:t xml:space="preserve">Número entero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pStyle w:val="Heading1"/>
              <w:keepNext w:val="0"/>
              <w:keepLines w:val="0"/>
              <w:spacing w:after="0" w:before="0" w:line="276" w:lineRule="auto"/>
              <w:jc w:val="both"/>
              <w:rPr>
                <w:rFonts w:ascii="Calibri" w:cs="Calibri" w:eastAsia="Calibri" w:hAnsi="Calibri"/>
                <w:sz w:val="24"/>
                <w:szCs w:val="24"/>
              </w:rPr>
            </w:pPr>
            <w:bookmarkStart w:colFirst="0" w:colLast="0" w:name="_heading=h.1mmw76ea07c" w:id="20"/>
            <w:bookmarkEnd w:id="20"/>
            <w:r w:rsidDel="00000000" w:rsidR="00000000" w:rsidRPr="00000000">
              <w:rPr>
                <w:rFonts w:ascii="Calibri" w:cs="Calibri" w:eastAsia="Calibri" w:hAnsi="Calibri"/>
                <w:sz w:val="24"/>
                <w:szCs w:val="24"/>
                <w:rtl w:val="0"/>
              </w:rPr>
              <w:t xml:space="preserve">Año de la observación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00">
            <w:pPr>
              <w:pStyle w:val="Heading1"/>
              <w:keepNext w:val="0"/>
              <w:keepLines w:val="0"/>
              <w:spacing w:after="0" w:before="0" w:line="276" w:lineRule="auto"/>
              <w:jc w:val="both"/>
              <w:rPr>
                <w:rFonts w:ascii="Calibri" w:cs="Calibri" w:eastAsia="Calibri" w:hAnsi="Calibri"/>
                <w:sz w:val="24"/>
                <w:szCs w:val="24"/>
              </w:rPr>
            </w:pPr>
            <w:bookmarkStart w:colFirst="0" w:colLast="0" w:name="_heading=h.1mmw76ea07c" w:id="20"/>
            <w:bookmarkEnd w:id="20"/>
            <w:r w:rsidDel="00000000" w:rsidR="00000000" w:rsidRPr="00000000">
              <w:rPr>
                <w:rFonts w:ascii="Calibri" w:cs="Calibri" w:eastAsia="Calibri" w:hAnsi="Calibri"/>
                <w:sz w:val="24"/>
                <w:szCs w:val="24"/>
                <w:rtl w:val="0"/>
              </w:rPr>
              <w:t xml:space="preserve">Enero … Diciembre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pStyle w:val="Heading1"/>
              <w:keepNext w:val="0"/>
              <w:keepLines w:val="0"/>
              <w:spacing w:after="0" w:before="0" w:line="276" w:lineRule="auto"/>
              <w:jc w:val="both"/>
              <w:rPr>
                <w:rFonts w:ascii="Calibri" w:cs="Calibri" w:eastAsia="Calibri" w:hAnsi="Calibri"/>
                <w:sz w:val="24"/>
                <w:szCs w:val="24"/>
              </w:rPr>
            </w:pPr>
            <w:bookmarkStart w:colFirst="0" w:colLast="0" w:name="_heading=h.1mmw76ea07c" w:id="20"/>
            <w:bookmarkEnd w:id="20"/>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pStyle w:val="Heading1"/>
              <w:keepNext w:val="0"/>
              <w:keepLines w:val="0"/>
              <w:spacing w:after="0" w:before="0" w:line="276" w:lineRule="auto"/>
              <w:jc w:val="both"/>
              <w:rPr>
                <w:rFonts w:ascii="Calibri" w:cs="Calibri" w:eastAsia="Calibri" w:hAnsi="Calibri"/>
                <w:sz w:val="24"/>
                <w:szCs w:val="24"/>
              </w:rPr>
            </w:pPr>
            <w:bookmarkStart w:colFirst="0" w:colLast="0" w:name="_heading=h.1mmw76ea07c" w:id="20"/>
            <w:bookmarkEnd w:id="20"/>
            <w:r w:rsidDel="00000000" w:rsidR="00000000" w:rsidRPr="00000000">
              <w:rPr>
                <w:rFonts w:ascii="Calibri" w:cs="Calibri" w:eastAsia="Calibri" w:hAnsi="Calibri"/>
                <w:sz w:val="24"/>
                <w:szCs w:val="24"/>
                <w:rtl w:val="0"/>
              </w:rPr>
              <w:t xml:space="preserve">Exportaciones del mes en millones de USD (serie desestacionalizada)</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03">
            <w:pPr>
              <w:pStyle w:val="Heading1"/>
              <w:keepNext w:val="0"/>
              <w:keepLines w:val="0"/>
              <w:spacing w:after="0" w:before="0" w:line="276" w:lineRule="auto"/>
              <w:jc w:val="both"/>
              <w:rPr>
                <w:rFonts w:ascii="Calibri" w:cs="Calibri" w:eastAsia="Calibri" w:hAnsi="Calibri"/>
                <w:sz w:val="24"/>
                <w:szCs w:val="24"/>
              </w:rPr>
            </w:pPr>
            <w:bookmarkStart w:colFirst="0" w:colLast="0" w:name="_heading=h.1mmw76ea07c" w:id="20"/>
            <w:bookmarkEnd w:id="20"/>
            <w:r w:rsidDel="00000000" w:rsidR="00000000" w:rsidRPr="00000000">
              <w:rPr>
                <w:rFonts w:ascii="Calibri" w:cs="Calibri" w:eastAsia="Calibri" w:hAnsi="Calibri"/>
                <w:sz w:val="24"/>
                <w:szCs w:val="24"/>
                <w:rtl w:val="0"/>
              </w:rPr>
              <w:t xml:space="preserve">Total anual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pStyle w:val="Heading1"/>
              <w:keepNext w:val="0"/>
              <w:keepLines w:val="0"/>
              <w:spacing w:after="0" w:before="0" w:line="276" w:lineRule="auto"/>
              <w:jc w:val="both"/>
              <w:rPr>
                <w:rFonts w:ascii="Calibri" w:cs="Calibri" w:eastAsia="Calibri" w:hAnsi="Calibri"/>
                <w:sz w:val="24"/>
                <w:szCs w:val="24"/>
              </w:rPr>
            </w:pPr>
            <w:bookmarkStart w:colFirst="0" w:colLast="0" w:name="_heading=h.1mmw76ea07c" w:id="20"/>
            <w:bookmarkEnd w:id="20"/>
            <w:r w:rsidDel="00000000" w:rsidR="00000000" w:rsidRPr="00000000">
              <w:rPr>
                <w:rFonts w:ascii="Calibri" w:cs="Calibri" w:eastAsia="Calibri" w:hAnsi="Calibri"/>
                <w:sz w:val="24"/>
                <w:szCs w:val="24"/>
                <w:rtl w:val="0"/>
              </w:rPr>
              <w:t xml:space="preserve">Número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pStyle w:val="Heading1"/>
              <w:keepNext w:val="0"/>
              <w:keepLines w:val="0"/>
              <w:spacing w:after="0" w:before="0" w:line="276" w:lineRule="auto"/>
              <w:jc w:val="both"/>
              <w:rPr>
                <w:rFonts w:ascii="Calibri" w:cs="Calibri" w:eastAsia="Calibri" w:hAnsi="Calibri"/>
                <w:sz w:val="24"/>
                <w:szCs w:val="24"/>
              </w:rPr>
            </w:pPr>
            <w:bookmarkStart w:colFirst="0" w:colLast="0" w:name="_heading=h.7dydjc66kzsp" w:id="21"/>
            <w:bookmarkEnd w:id="21"/>
            <w:r w:rsidDel="00000000" w:rsidR="00000000" w:rsidRPr="00000000">
              <w:rPr>
                <w:rFonts w:ascii="Calibri" w:cs="Calibri" w:eastAsia="Calibri" w:hAnsi="Calibri"/>
                <w:sz w:val="24"/>
                <w:szCs w:val="24"/>
                <w:rtl w:val="0"/>
              </w:rPr>
              <w:t xml:space="preserve">Suma de los 12 valores mensuales desestacionalizados del año</w:t>
            </w:r>
          </w:p>
        </w:tc>
      </w:tr>
    </w:tbl>
    <w:p w:rsidR="00000000" w:rsidDel="00000000" w:rsidP="00000000" w:rsidRDefault="00000000" w:rsidRPr="00000000" w14:paraId="00000106">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Calibri" w:cs="Calibri" w:eastAsia="Calibri" w:hAnsi="Calibri"/>
          <w:sz w:val="24"/>
          <w:szCs w:val="24"/>
        </w:rPr>
      </w:pPr>
      <w:bookmarkStart w:colFirst="0" w:colLast="0" w:name="_heading=h.sxeo58722v9y" w:id="22"/>
      <w:bookmarkEnd w:id="22"/>
      <w:r w:rsidDel="00000000" w:rsidR="00000000" w:rsidRPr="00000000">
        <w:rPr>
          <w:rFonts w:ascii="Calibri" w:cs="Calibri" w:eastAsia="Calibri" w:hAnsi="Calibri"/>
          <w:b w:val="1"/>
          <w:bCs w:val="1"/>
          <w:sz w:val="24"/>
          <w:szCs w:val="24"/>
          <w:rtl w:val="0"/>
        </w:rPr>
        <w:t xml:space="preserve">Calidad de datos</w:t>
      </w:r>
      <w:r w:rsidDel="00000000" w:rsidR="00000000" w:rsidRPr="00000000">
        <w:rPr>
          <w:rtl w:val="0"/>
        </w:rPr>
      </w:r>
    </w:p>
    <w:p w:rsidR="00000000" w:rsidDel="00000000" w:rsidP="00000000" w:rsidRDefault="00000000" w:rsidRPr="00000000" w14:paraId="0000010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Calibri" w:cs="Calibri" w:eastAsia="Calibri" w:hAnsi="Calibri"/>
          <w:sz w:val="24"/>
          <w:szCs w:val="24"/>
        </w:rPr>
      </w:pPr>
      <w:bookmarkStart w:colFirst="0" w:colLast="0" w:name="_heading=h.a7plifhpxnoq" w:id="23"/>
      <w:bookmarkEnd w:id="23"/>
      <w:r w:rsidDel="00000000" w:rsidR="00000000" w:rsidRPr="00000000">
        <w:rPr>
          <w:rFonts w:ascii="Calibri" w:cs="Calibri" w:eastAsia="Calibri" w:hAnsi="Calibri"/>
          <w:sz w:val="24"/>
          <w:szCs w:val="24"/>
          <w:rtl w:val="0"/>
        </w:rPr>
        <w:t xml:space="preserve">No se detectaron valores nulos en el período 1996–2024. Los meses de abril–diciembre de 2026 aún no están publicados (indicados como "—" en la fuente original). El dataset se considera limpio para el período de análisis (2021–2026).</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jc w:val="both"/>
        <w:rPr>
          <w:rFonts w:ascii="Calibri" w:cs="Calibri" w:eastAsia="Calibri" w:hAnsi="Calibri"/>
          <w:b w:val="1"/>
          <w:bCs w:val="1"/>
          <w:color w:val="000000"/>
          <w:sz w:val="24"/>
          <w:szCs w:val="24"/>
        </w:rPr>
      </w:pPr>
      <w:bookmarkStart w:colFirst="0" w:colLast="0" w:name="_heading=h.zauedrb4xm8z" w:id="24"/>
      <w:bookmarkEnd w:id="24"/>
      <w:r w:rsidDel="00000000" w:rsidR="00000000" w:rsidRPr="00000000">
        <w:rPr>
          <w:rFonts w:ascii="Calibri" w:cs="Calibri" w:eastAsia="Calibri" w:hAnsi="Calibri"/>
          <w:b w:val="1"/>
          <w:bCs w:val="1"/>
          <w:color w:val="000000"/>
          <w:sz w:val="24"/>
          <w:szCs w:val="24"/>
          <w:rtl w:val="0"/>
        </w:rPr>
        <w:t xml:space="preserve">Gráfico 1 —  Evolución del IPI Manufacturero (2016-2026)</w:t>
      </w:r>
    </w:p>
    <w:p w:rsidR="00000000" w:rsidDel="00000000" w:rsidP="00000000" w:rsidRDefault="00000000" w:rsidRPr="00000000" w14:paraId="0000010E">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Serie temporal del IPI nivel general. Muestra la tendencia, la caída por COVID-19 en 2020 (mínimo: 80,4 en abril 2020) y la recuperación posterior hasta 2022. La línea de referencia indica la base 2004=100.</w:t>
      </w:r>
    </w:p>
    <w:p w:rsidR="00000000" w:rsidDel="00000000" w:rsidP="00000000" w:rsidRDefault="00000000" w:rsidRPr="00000000" w14:paraId="0000010F">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5731200" cy="3937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heading=h.9eoedci0e9v3" w:id="25"/>
      <w:bookmarkEnd w:id="25"/>
      <w:r w:rsidDel="00000000" w:rsidR="00000000" w:rsidRPr="00000000">
        <w:rPr>
          <w:rFonts w:ascii="Calibri" w:cs="Calibri" w:eastAsia="Calibri" w:hAnsi="Calibri"/>
          <w:b w:val="1"/>
          <w:bCs w:val="1"/>
          <w:color w:val="000000"/>
          <w:sz w:val="24"/>
          <w:szCs w:val="24"/>
          <w:rtl w:val="0"/>
        </w:rPr>
        <w:t xml:space="preserve"> </w:t>
      </w:r>
    </w:p>
    <w:p w:rsidR="00000000" w:rsidDel="00000000" w:rsidP="00000000" w:rsidRDefault="00000000" w:rsidRPr="00000000" w14:paraId="00000111">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heading=h.6tths59e7mcs" w:id="26"/>
      <w:bookmarkEnd w:id="26"/>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heading=h.veb1q1a5rumf" w:id="27"/>
      <w:bookmarkEnd w:id="27"/>
      <w:r w:rsidDel="00000000" w:rsidR="00000000" w:rsidRPr="00000000">
        <w:rPr>
          <w:rFonts w:ascii="Calibri" w:cs="Calibri" w:eastAsia="Calibri" w:hAnsi="Calibri"/>
          <w:b w:val="1"/>
          <w:bCs w:val="1"/>
          <w:color w:val="000000"/>
          <w:sz w:val="24"/>
          <w:szCs w:val="24"/>
          <w:rtl w:val="0"/>
        </w:rPr>
        <w:t xml:space="preserve">Gráfico 2 —  UCII promedio por bloque industrial (2017-2026)</w:t>
      </w:r>
    </w:p>
    <w:p w:rsidR="00000000" w:rsidDel="00000000" w:rsidP="00000000" w:rsidRDefault="00000000" w:rsidRPr="00000000" w14:paraId="00000113">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Gráfico de barras con el promedio de UCII de cada bloque. Refinación del petróleo lidera con 78% de utilización; Industria automotriz es el de menor utilización con 46,5% (53,5% de capacidad ociosa).</w:t>
      </w:r>
    </w:p>
    <w:p w:rsidR="00000000" w:rsidDel="00000000" w:rsidP="00000000" w:rsidRDefault="00000000" w:rsidRPr="00000000" w14:paraId="00000114">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5731200" cy="51562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16">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heading=h.jrv6fx1h97x0" w:id="28"/>
      <w:bookmarkEnd w:id="28"/>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heading=h.8nlw7sn7ic9h" w:id="29"/>
      <w:bookmarkEnd w:id="29"/>
      <w:r w:rsidDel="00000000" w:rsidR="00000000" w:rsidRPr="00000000">
        <w:rPr>
          <w:rFonts w:ascii="Calibri" w:cs="Calibri" w:eastAsia="Calibri" w:hAnsi="Calibri"/>
          <w:b w:val="1"/>
          <w:bCs w:val="1"/>
          <w:color w:val="000000"/>
          <w:sz w:val="24"/>
          <w:szCs w:val="24"/>
          <w:rtl w:val="0"/>
        </w:rPr>
        <w:t xml:space="preserve">Gráfico 3 —  Primer Scatter para períodos de los últimos 10, 5 y 3 años</w:t>
      </w:r>
    </w:p>
    <w:p w:rsidR="00000000" w:rsidDel="00000000" w:rsidP="00000000" w:rsidRDefault="00000000" w:rsidRPr="00000000" w14:paraId="00000118">
      <w:pPr>
        <w:rPr/>
      </w:pPr>
      <w:r w:rsidDel="00000000" w:rsidR="00000000" w:rsidRPr="00000000">
        <w:rPr>
          <w:rtl w:val="0"/>
        </w:rPr>
        <w:t xml:space="preserve">Scatter 10 años</w:t>
      </w:r>
    </w:p>
    <w:p w:rsidR="00000000" w:rsidDel="00000000" w:rsidP="00000000" w:rsidRDefault="00000000" w:rsidRPr="00000000" w14:paraId="00000119">
      <w:pPr>
        <w:rPr/>
      </w:pPr>
      <w:r w:rsidDel="00000000" w:rsidR="00000000" w:rsidRPr="00000000">
        <w:rPr/>
        <w:drawing>
          <wp:inline distB="114300" distT="114300" distL="114300" distR="114300">
            <wp:extent cx="5731200" cy="32258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0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Scatter 5 años</w:t>
      </w:r>
    </w:p>
    <w:p w:rsidR="00000000" w:rsidDel="00000000" w:rsidP="00000000" w:rsidRDefault="00000000" w:rsidRPr="00000000" w14:paraId="0000011B">
      <w:pPr>
        <w:spacing w:after="200" w:lineRule="auto"/>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2258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2">
      <w:pP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Scatter 3 años</w:t>
      </w:r>
    </w:p>
    <w:p w:rsidR="00000000" w:rsidDel="00000000" w:rsidP="00000000" w:rsidRDefault="00000000" w:rsidRPr="00000000" w14:paraId="00000123">
      <w:pPr>
        <w:spacing w:after="2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32258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jc w:val="both"/>
        <w:rPr>
          <w:rFonts w:ascii="Calibri" w:cs="Calibri" w:eastAsia="Calibri" w:hAnsi="Calibri"/>
          <w:b w:val="1"/>
          <w:bCs w:val="1"/>
          <w:sz w:val="24"/>
          <w:szCs w:val="24"/>
        </w:rPr>
      </w:pPr>
      <w:bookmarkStart w:colFirst="0" w:colLast="0" w:name="_heading=h.a7hjmfmrtkwt" w:id="30"/>
      <w:bookmarkEnd w:id="30"/>
      <w:r w:rsidDel="00000000" w:rsidR="00000000" w:rsidRPr="00000000">
        <w:rPr>
          <w:rFonts w:ascii="Calibri" w:cs="Calibri" w:eastAsia="Calibri" w:hAnsi="Calibri"/>
          <w:b w:val="1"/>
          <w:bCs w:val="1"/>
          <w:sz w:val="24"/>
          <w:szCs w:val="24"/>
          <w:rtl w:val="0"/>
        </w:rPr>
        <w:t xml:space="preserve">Nota Metodológica: Selección de sectores analizados</w:t>
      </w:r>
    </w:p>
    <w:p w:rsidR="00000000" w:rsidDel="00000000" w:rsidP="00000000" w:rsidRDefault="00000000" w:rsidRPr="00000000" w14:paraId="00000125">
      <w:pPr>
        <w:pStyle w:val="Heading1"/>
        <w:keepNext w:val="0"/>
        <w:keepLines w:val="0"/>
        <w:spacing w:before="480" w:lineRule="auto"/>
        <w:jc w:val="both"/>
        <w:rPr>
          <w:rFonts w:ascii="Calibri" w:cs="Calibri" w:eastAsia="Calibri" w:hAnsi="Calibri"/>
          <w:sz w:val="24"/>
          <w:szCs w:val="24"/>
        </w:rPr>
      </w:pPr>
      <w:bookmarkStart w:colFirst="0" w:colLast="0" w:name="_heading=h.a7hjmfmrtkwt" w:id="30"/>
      <w:bookmarkEnd w:id="30"/>
      <w:r w:rsidDel="00000000" w:rsidR="00000000" w:rsidRPr="00000000">
        <w:rPr>
          <w:rFonts w:ascii="Calibri" w:cs="Calibri" w:eastAsia="Calibri" w:hAnsi="Calibri"/>
          <w:sz w:val="24"/>
          <w:szCs w:val="24"/>
          <w:rtl w:val="0"/>
        </w:rPr>
        <w:t xml:space="preserve">El análisis de IPI y UCII se realizó sobre 9 sectores con correspondencia directa entre ambos datasets, de un total de ∼17 sectores en el IPI y 12 bloques en la UCII. Los sectores excluidos presentan incompatibilidad metodológica que impide el cruce sin ponderadores:</w:t>
      </w:r>
    </w:p>
    <w:p w:rsidR="00000000" w:rsidDel="00000000" w:rsidP="00000000" w:rsidRDefault="00000000" w:rsidRPr="00000000" w14:paraId="00000126">
      <w:pPr>
        <w:pStyle w:val="Heading1"/>
        <w:keepNext w:val="0"/>
        <w:keepLines w:val="0"/>
        <w:numPr>
          <w:ilvl w:val="0"/>
          <w:numId w:val="8"/>
        </w:numPr>
        <w:spacing w:after="0" w:afterAutospacing="0" w:before="480" w:lineRule="auto"/>
        <w:ind w:left="720" w:hanging="360"/>
        <w:jc w:val="both"/>
        <w:rPr>
          <w:rFonts w:ascii="Calibri" w:cs="Calibri" w:eastAsia="Calibri" w:hAnsi="Calibri"/>
          <w:sz w:val="24"/>
          <w:szCs w:val="24"/>
          <w:u w:val="none"/>
        </w:rPr>
      </w:pPr>
      <w:bookmarkStart w:colFirst="0" w:colLast="0" w:name="_heading=h.kr4jrgqpcmxh" w:id="31"/>
      <w:bookmarkEnd w:id="31"/>
      <w:r w:rsidDel="00000000" w:rsidR="00000000" w:rsidRPr="00000000">
        <w:rPr>
          <w:rFonts w:ascii="Calibri" w:cs="Calibri" w:eastAsia="Calibri" w:hAnsi="Calibri"/>
          <w:b w:val="1"/>
          <w:bCs w:val="1"/>
          <w:sz w:val="24"/>
          <w:szCs w:val="24"/>
          <w:rtl w:val="0"/>
        </w:rPr>
        <w:t xml:space="preserve">Metalmecánica</w:t>
      </w:r>
      <w:r w:rsidDel="00000000" w:rsidR="00000000" w:rsidRPr="00000000">
        <w:rPr>
          <w:rFonts w:ascii="Calibri" w:cs="Calibri" w:eastAsia="Calibri" w:hAnsi="Calibri"/>
          <w:sz w:val="24"/>
          <w:szCs w:val="24"/>
          <w:rtl w:val="0"/>
        </w:rPr>
        <w:t xml:space="preserve">: la UCII lo agrupa como un único bloque, mientras el IPI lo desagrega en 5 subclases CLaNAE distintas. Sumar índices sin ponderadores de valor de producción introduciría sesgo.</w:t>
      </w:r>
    </w:p>
    <w:p w:rsidR="00000000" w:rsidDel="00000000" w:rsidP="00000000" w:rsidRDefault="00000000" w:rsidRPr="00000000" w14:paraId="00000127">
      <w:pPr>
        <w:pStyle w:val="Heading1"/>
        <w:keepNext w:val="0"/>
        <w:keepLines w:val="0"/>
        <w:numPr>
          <w:ilvl w:val="0"/>
          <w:numId w:val="8"/>
        </w:numPr>
        <w:spacing w:after="0" w:afterAutospacing="0" w:before="0" w:beforeAutospacing="0" w:lineRule="auto"/>
        <w:ind w:left="720" w:hanging="360"/>
        <w:jc w:val="both"/>
        <w:rPr>
          <w:rFonts w:ascii="Calibri" w:cs="Calibri" w:eastAsia="Calibri" w:hAnsi="Calibri"/>
          <w:sz w:val="24"/>
          <w:szCs w:val="24"/>
          <w:u w:val="none"/>
        </w:rPr>
      </w:pPr>
      <w:bookmarkStart w:colFirst="0" w:colLast="0" w:name="_heading=h.xasoqstty63h" w:id="32"/>
      <w:bookmarkEnd w:id="32"/>
      <w:r w:rsidDel="00000000" w:rsidR="00000000" w:rsidRPr="00000000">
        <w:rPr>
          <w:rFonts w:ascii="Calibri" w:cs="Calibri" w:eastAsia="Calibri" w:hAnsi="Calibri"/>
          <w:b w:val="1"/>
          <w:bCs w:val="1"/>
          <w:sz w:val="24"/>
          <w:szCs w:val="24"/>
          <w:rtl w:val="0"/>
        </w:rPr>
        <w:t xml:space="preserve">Papel y cartón / Edición e impresión</w:t>
      </w:r>
      <w:r w:rsidDel="00000000" w:rsidR="00000000" w:rsidRPr="00000000">
        <w:rPr>
          <w:rFonts w:ascii="Calibri" w:cs="Calibri" w:eastAsia="Calibri" w:hAnsi="Calibri"/>
          <w:sz w:val="24"/>
          <w:szCs w:val="24"/>
          <w:rtl w:val="0"/>
        </w:rPr>
        <w:t xml:space="preserve">: el IPI los agrupa en un código único (20-22), pero la UCII los reporta por separado. Sin ponderadores no es posible desagregarlos correctamente.</w:t>
      </w:r>
    </w:p>
    <w:p w:rsidR="00000000" w:rsidDel="00000000" w:rsidP="00000000" w:rsidRDefault="00000000" w:rsidRPr="00000000" w14:paraId="00000128">
      <w:pPr>
        <w:pStyle w:val="Heading1"/>
        <w:keepNext w:val="0"/>
        <w:keepLines w:val="0"/>
        <w:numPr>
          <w:ilvl w:val="0"/>
          <w:numId w:val="8"/>
        </w:numPr>
        <w:spacing w:before="0" w:beforeAutospacing="0" w:lineRule="auto"/>
        <w:ind w:left="720" w:hanging="360"/>
        <w:jc w:val="both"/>
        <w:rPr>
          <w:rFonts w:ascii="Calibri" w:cs="Calibri" w:eastAsia="Calibri" w:hAnsi="Calibri"/>
          <w:sz w:val="24"/>
          <w:szCs w:val="24"/>
          <w:u w:val="none"/>
        </w:rPr>
      </w:pPr>
      <w:bookmarkStart w:colFirst="0" w:colLast="0" w:name="_heading=h.3rpgpye7reoe" w:id="33"/>
      <w:bookmarkEnd w:id="33"/>
      <w:r w:rsidDel="00000000" w:rsidR="00000000" w:rsidRPr="00000000">
        <w:rPr>
          <w:rFonts w:ascii="Calibri" w:cs="Calibri" w:eastAsia="Calibri" w:hAnsi="Calibri"/>
          <w:b w:val="1"/>
          <w:bCs w:val="1"/>
          <w:sz w:val="24"/>
          <w:szCs w:val="24"/>
          <w:rtl w:val="0"/>
        </w:rPr>
        <w:t xml:space="preserve">Prendas de vestir</w:t>
      </w:r>
      <w:r w:rsidDel="00000000" w:rsidR="00000000" w:rsidRPr="00000000">
        <w:rPr>
          <w:rFonts w:ascii="Calibri" w:cs="Calibri" w:eastAsia="Calibri" w:hAnsi="Calibri"/>
          <w:sz w:val="24"/>
          <w:szCs w:val="24"/>
          <w:rtl w:val="0"/>
        </w:rPr>
        <w:t xml:space="preserve">: tiene datos en el IPI pero no tiene bloque equivalente en la UCII.</w: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jc w:val="both"/>
        <w:rPr>
          <w:rFonts w:ascii="Calibri" w:cs="Calibri" w:eastAsia="Calibri" w:hAnsi="Calibri"/>
          <w:sz w:val="24"/>
          <w:szCs w:val="24"/>
        </w:rPr>
      </w:pPr>
      <w:bookmarkStart w:colFirst="0" w:colLast="0" w:name="_heading=h.a7hjmfmrtkwt" w:id="30"/>
      <w:bookmarkEnd w:id="30"/>
      <w:r w:rsidDel="00000000" w:rsidR="00000000" w:rsidRPr="00000000">
        <w:rPr>
          <w:rFonts w:ascii="Calibri" w:cs="Calibri" w:eastAsia="Calibri" w:hAnsi="Calibri"/>
          <w:sz w:val="24"/>
          <w:szCs w:val="24"/>
          <w:rtl w:val="0"/>
        </w:rPr>
        <w:t xml:space="preserve">Los 9 sectores retenidos (Alimentos y bebidas, Productos de tabaco, Productos textiles, Refinación del petróleo, Sustancias y productos químicos, Productos de caucho y plástico, Productos minerales no metálicos, Industrias metálicas básicas, Industria automotriz) cubren los principales rubros industriales y permiten el cruce directo (hermanamiento) IPI↔UCII sin supuestos adicionales.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jc w:val="both"/>
        <w:rPr>
          <w:rFonts w:ascii="Calibri" w:cs="Calibri" w:eastAsia="Calibri" w:hAnsi="Calibri"/>
          <w:b w:val="1"/>
          <w:bCs w:val="1"/>
          <w:sz w:val="24"/>
          <w:szCs w:val="24"/>
        </w:rPr>
      </w:pPr>
      <w:bookmarkStart w:colFirst="0" w:colLast="0" w:name="_heading=h.sn0ikej977k" w:id="34"/>
      <w:bookmarkEnd w:id="34"/>
      <w:r w:rsidDel="00000000" w:rsidR="00000000" w:rsidRPr="00000000">
        <w:rPr>
          <w:rFonts w:ascii="Calibri" w:cs="Calibri" w:eastAsia="Calibri" w:hAnsi="Calibri"/>
          <w:b w:val="1"/>
          <w:bCs w:val="1"/>
          <w:sz w:val="24"/>
          <w:szCs w:val="24"/>
          <w:rtl w:val="0"/>
        </w:rPr>
        <w:t xml:space="preserve">Hallazgos Iniciales</w:t>
      </w:r>
    </w:p>
    <w:p w:rsidR="00000000" w:rsidDel="00000000" w:rsidP="00000000" w:rsidRDefault="00000000" w:rsidRPr="00000000" w14:paraId="0000012C">
      <w:pPr>
        <w:numPr>
          <w:ilvl w:val="0"/>
          <w:numId w:val="9"/>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Asimetría estructural confirmada en UCII: Refinación del petróleo opera al 78% de  capacidad en promedio; Industria automotriz al 46,5%. La brecha supera los 30 puntos porcentuales, lo que valida directamente la hipótesis del proyecto.</w:t>
      </w:r>
    </w:p>
    <w:p w:rsidR="00000000" w:rsidDel="00000000" w:rsidP="00000000" w:rsidRDefault="00000000" w:rsidRPr="00000000" w14:paraId="0000012D">
      <w:pPr>
        <w:numPr>
          <w:ilvl w:val="0"/>
          <w:numId w:val="9"/>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COVID-19 identificable en ambas series INDEC: Tanto IPI como UCII registran su mínimo histórico en abril de 2020. La recuperación fue heterogénea: los sectores exportadores se recuperaron más rápido que los orientados al consumo interno.</w:t>
      </w:r>
    </w:p>
    <w:p w:rsidR="00000000" w:rsidDel="00000000" w:rsidP="00000000" w:rsidRDefault="00000000" w:rsidRPr="00000000" w14:paraId="0000012E">
      <w:pPr>
        <w:numPr>
          <w:ilvl w:val="0"/>
          <w:numId w:val="9"/>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Capacidad Ociosa computable directamente: Con la UCII disponible se puede calcular Capacidad Ociosa = 100 - UCII para los 12 bloques industriales. Esta es la variable central del modelo de clustering.</w:t>
      </w:r>
    </w:p>
    <w:p w:rsidR="00000000" w:rsidDel="00000000" w:rsidP="00000000" w:rsidRDefault="00000000" w:rsidRPr="00000000" w14:paraId="0000012F">
      <w:pPr>
        <w:numPr>
          <w:ilvl w:val="0"/>
          <w:numId w:val="9"/>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Perfiles sectoriales identificados en el scatter IPI vs. UCII: Los scatter plots completados (10 años 2016–2026 y 3 años 2023–2026) ubican a los 9 sectores en 4 cuadrantes. Automotriz surge como el caso más destacado de alta eficiencia (UCII ∼46 | IPI ∼135). Refinación, Alimentos y Químicos operan con alta producción y alta utilización de capacidad. Textiles, Tabaco y Caucho aparecen en el cuadrante de baja actividad. El scatter de 5 años (2021–2026) está en proceso.</w:t>
      </w:r>
    </w:p>
    <w:p w:rsidR="00000000" w:rsidDel="00000000" w:rsidP="00000000" w:rsidRDefault="00000000" w:rsidRPr="00000000" w14:paraId="00000130">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Problema de granularidad IPI↔UCII: El IPI tiene ∼85 subclases CLaNAE mientras la UCII reporta 12 bloques. La solución adoptada fue seleccionar los 9 sectores con correspondencia directa (ver Nota Metodológica). El mapeo ICA → sectores CLaNAE para incorporar exportaciones por sector queda pendiente para Sprint 2.</w:t>
      </w:r>
    </w:p>
    <w:p w:rsidR="00000000" w:rsidDel="00000000" w:rsidP="00000000" w:rsidRDefault="00000000" w:rsidRPr="00000000" w14:paraId="00000131">
      <w:pPr>
        <w:pStyle w:val="Heading1"/>
        <w:keepNext w:val="0"/>
        <w:keepLines w:val="0"/>
        <w:spacing w:before="480" w:lineRule="auto"/>
        <w:jc w:val="both"/>
        <w:rPr>
          <w:rFonts w:ascii="Calibri" w:cs="Calibri" w:eastAsia="Calibri" w:hAnsi="Calibri"/>
          <w:b w:val="1"/>
          <w:bCs w:val="1"/>
          <w:sz w:val="24"/>
          <w:szCs w:val="24"/>
        </w:rPr>
      </w:pPr>
      <w:bookmarkStart w:colFirst="0" w:colLast="0" w:name="_heading=h.kko33c6ptamd" w:id="35"/>
      <w:bookmarkEnd w:id="35"/>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jc w:val="both"/>
        <w:rPr>
          <w:rFonts w:ascii="Calibri" w:cs="Calibri" w:eastAsia="Calibri" w:hAnsi="Calibri"/>
          <w:b w:val="1"/>
          <w:bCs w:val="1"/>
          <w:sz w:val="24"/>
          <w:szCs w:val="24"/>
        </w:rPr>
      </w:pPr>
      <w:bookmarkStart w:colFirst="0" w:colLast="0" w:name="_heading=h.huqn25ewso0l" w:id="36"/>
      <w:bookmarkEnd w:id="36"/>
      <w:r w:rsidDel="00000000" w:rsidR="00000000" w:rsidRPr="00000000">
        <w:rPr>
          <w:rFonts w:ascii="Calibri" w:cs="Calibri" w:eastAsia="Calibri" w:hAnsi="Calibri"/>
          <w:b w:val="1"/>
          <w:bCs w:val="1"/>
          <w:sz w:val="24"/>
          <w:szCs w:val="24"/>
          <w:rtl w:val="0"/>
        </w:rPr>
        <w:t xml:space="preserve">Preguntas que Surgen del EDA Inicial</w:t>
      </w:r>
    </w:p>
    <w:p w:rsidR="00000000" w:rsidDel="00000000" w:rsidP="00000000" w:rsidRDefault="00000000" w:rsidRPr="00000000" w14:paraId="00000133">
      <w:pPr>
        <w:numPr>
          <w:ilvl w:val="0"/>
          <w:numId w:val="1"/>
        </w:numPr>
        <w:spacing w:after="0" w:after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Nivel de agregación del análisis: El trabajo se realiza con los 9 sectores con correspondencia directa IPI↔UCII. ¿Se mantendrá este nivel para el clustering de Sprint 2/3 o se explorará mayor desagregación?</w:t>
      </w:r>
    </w:p>
    <w:p w:rsidR="00000000" w:rsidDel="00000000" w:rsidP="00000000" w:rsidRDefault="00000000" w:rsidRPr="00000000" w14:paraId="00000134">
      <w:pPr>
        <w:numPr>
          <w:ilvl w:val="0"/>
          <w:numId w:val="1"/>
        </w:numPr>
        <w:spacing w:after="0" w:after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Mapeo ICA → sectores IPI/UCII (pendiente Sprint 2): ¿Cómo se construye la correspondencia entre los capítulos NCM del ICA y los sectores CLaNAE del IPI/UCII? Esta tabla de equivalencias es necesaria para incorporar exportaciones por sector al análisis.</w:t>
      </w:r>
    </w:p>
    <w:p w:rsidR="00000000" w:rsidDel="00000000" w:rsidP="00000000" w:rsidRDefault="00000000" w:rsidRPr="00000000" w14:paraId="00000135">
      <w:pPr>
        <w:numPr>
          <w:ilvl w:val="0"/>
          <w:numId w:val="1"/>
        </w:numPr>
        <w:spacing w:after="0" w:after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Valores de exportaciones en USD corrientes: Los datos del ICA están en millones de USD. ¿Se trabajará con valores corrientes o se aplicará algún deflactor para comparar entre períodos?</w:t>
      </w:r>
    </w:p>
    <w:p w:rsidR="00000000" w:rsidDel="00000000" w:rsidP="00000000" w:rsidRDefault="00000000" w:rsidRPr="00000000" w14:paraId="00000136">
      <w:pPr>
        <w:numPr>
          <w:ilvl w:val="0"/>
          <w:numId w:val="1"/>
        </w:numPr>
        <w:spacing w:after="0" w:after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Períodos de análisis definidos: Se compararán 3 períodos — 10 años (2016–2026), 5 años (2021–2026) y 3 años (2023–2026). ¿Se mantiene esta selección para el clustering de Sprint 2/3 o se define un único período de referencia?</w:t>
      </w:r>
    </w:p>
    <w:p w:rsidR="00000000" w:rsidDel="00000000" w:rsidP="00000000" w:rsidRDefault="00000000" w:rsidRPr="00000000" w14:paraId="00000137">
      <w:pPr>
        <w:numPr>
          <w:ilvl w:val="0"/>
          <w:numId w:val="1"/>
        </w:numPr>
        <w:spacing w:after="0" w:after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Tratamiento del sector tabaco: El sector tabaco en IPI tiene 35% de datos faltantes. Se excluye del análisis o se imputa?</w:t>
      </w:r>
    </w:p>
    <w:p w:rsidR="00000000" w:rsidDel="00000000" w:rsidP="00000000" w:rsidRDefault="00000000" w:rsidRPr="00000000" w14:paraId="00000138">
      <w:pPr>
        <w:numPr>
          <w:ilvl w:val="0"/>
          <w:numId w:val="1"/>
        </w:numPr>
        <w:spacing w:after="20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Desglose sectorial de exportaciones (ICA): El dataset disponible (expo desestacionalizada) cubre el total exportado sin desglose por sector industrial. ¿En qué momento del Sprint 2 se realizará el mapeo NCM → CLaNAE para incorporar exportaciones por sector al análisis?</w:t>
      </w:r>
    </w:p>
    <w:p w:rsidR="00000000" w:rsidDel="00000000" w:rsidP="00000000" w:rsidRDefault="00000000" w:rsidRPr="00000000" w14:paraId="00000139">
      <w:pPr>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W1hnki0FF2AARtlGxRiQirtXdA==">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