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color w:val="4f81bd"/>
          <w:sz w:val="46"/>
          <w:szCs w:val="46"/>
        </w:rPr>
      </w:pPr>
      <w:bookmarkStart w:colFirst="0" w:colLast="0" w:name="_heading=h.nv3dnupx1cye" w:id="0"/>
      <w:bookmarkEnd w:id="0"/>
      <w:r w:rsidDel="00000000" w:rsidR="00000000" w:rsidRPr="00000000">
        <w:rPr>
          <w:b w:val="1"/>
          <w:bCs w:val="1"/>
          <w:color w:val="4f81bd"/>
          <w:sz w:val="46"/>
          <w:szCs w:val="46"/>
          <w:rtl w:val="0"/>
        </w:rPr>
        <w:t xml:space="preserve">Reporte de Insights</w:t>
      </w:r>
    </w:p>
    <w:p w:rsidR="00000000" w:rsidDel="00000000" w:rsidP="00000000" w:rsidRDefault="00000000" w:rsidRPr="00000000" w14:paraId="00000002">
      <w:pPr>
        <w:pStyle w:val="Heading1"/>
        <w:spacing w:after="240" w:before="240" w:lineRule="auto"/>
        <w:jc w:val="both"/>
        <w:rPr/>
      </w:pPr>
      <w:bookmarkStart w:colFirst="0" w:colLast="0" w:name="_heading=h.ia9vyrwv4pkd" w:id="1"/>
      <w:bookmarkEnd w:id="1"/>
      <w:r w:rsidDel="00000000" w:rsidR="00000000" w:rsidRPr="00000000">
        <w:rPr>
          <w:rtl w:val="0"/>
        </w:rPr>
        <w:t xml:space="preserve">INSIGHT 1: Comportamiento anticíclico del sector Refinación de Petróleo y quiebre estructural post-2024</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INS-001</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Título Descriptivo: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r w:rsidDel="00000000" w:rsidR="00000000" w:rsidRPr="00000000">
              <w:rPr>
                <w:rtl w:val="0"/>
              </w:rPr>
              <w:t xml:space="preserve">Comportamiento anticíclico del sector Refinación de Petróleo y quiebre estructural post-2024.</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Evolución Temporal. </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 identificó un quiebre de tendencia generalizado a partir de 2024 donde casi todas las ramas manufactureras entraron en una fase contractiva. El sector de </w:t>
            </w:r>
            <w:r w:rsidDel="00000000" w:rsidR="00000000" w:rsidRPr="00000000">
              <w:rPr>
                <w:b w:val="1"/>
                <w:bCs w:val="1"/>
                <w:rtl w:val="0"/>
              </w:rPr>
              <w:t xml:space="preserve">Refinación de Petróleo se consolidó como la única excepción estructural</w:t>
            </w:r>
            <w:r w:rsidDel="00000000" w:rsidR="00000000" w:rsidRPr="00000000">
              <w:rPr>
                <w:rtl w:val="0"/>
              </w:rPr>
              <w:t xml:space="preserve">, sosteniendo una trayectoria de crecimiento en sus indicadores operativos hacia el año 2026.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Índice de Producción Industrial (IPI)</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Alto (Series oficiales mensuales homogéneas extraídas del INDEC). </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Al año 2026, mientras que sectores tradicionales sufrieron contracciones, </w:t>
            </w:r>
            <w:r w:rsidDel="00000000" w:rsidR="00000000" w:rsidRPr="00000000">
              <w:rPr>
                <w:i w:val="1"/>
                <w:iCs w:val="1"/>
                <w:rtl w:val="0"/>
              </w:rPr>
              <w:t xml:space="preserve">Refinación de Petróleo</w:t>
            </w:r>
            <w:r w:rsidDel="00000000" w:rsidR="00000000" w:rsidRPr="00000000">
              <w:rPr>
                <w:rtl w:val="0"/>
              </w:rPr>
              <w:t xml:space="preserve"> alcanzó los niveles máximos de uso de maquinaria de todo el panel (UCII: 78,39%) junto a un IPI de 83,93, desacoplándose del estancamiento general. Esto demuestra que la industria operó a dos velocidades: una contracción sistémica del bloque tradicional frente a la resiliencia del procesamiento continuo energético.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Impacto Potencial: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Ignorar este comportamiento excepcional al planificar políticas industriales puede llevar a diagnósticos erróneos, asumiendo una crisis uniforme cuando existe un sector clave sosteniendo la actividad y el uso de infraestructura.</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Media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240" w:before="240" w:lineRule="auto"/>
        <w:jc w:val="both"/>
        <w:rPr/>
      </w:pPr>
      <w:bookmarkStart w:colFirst="0" w:colLast="0" w:name="_heading=h.9h3ygzksotcs" w:id="2"/>
      <w:bookmarkEnd w:id="2"/>
      <w:r w:rsidDel="00000000" w:rsidR="00000000" w:rsidRPr="00000000">
        <w:rPr>
          <w:rtl w:val="0"/>
        </w:rPr>
        <w:t xml:space="preserve">INSIGHT 2: Segmentación del Entramado Industrial Argentino en Tres Perfiles Productivos.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B">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INS-002</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Segmentación del Entramado Industrial Argentino en Tres Perfiles Productivos. </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b w:val="1"/>
                <w:bCs w:val="1"/>
              </w:rPr>
            </w:pPr>
            <w:r w:rsidDel="00000000" w:rsidR="00000000" w:rsidRPr="00000000">
              <w:rPr>
                <w:b w:val="1"/>
                <w:bCs w:val="1"/>
                <w:rtl w:val="0"/>
              </w:rPr>
              <w:t xml:space="preserve">Categoría: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rtl w:val="0"/>
              </w:rPr>
              <w:t xml:space="preserve">Perfiles Sectoriales.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b w:val="1"/>
                <w:bCs w:val="1"/>
              </w:rPr>
            </w:pPr>
            <w:r w:rsidDel="00000000" w:rsidR="00000000" w:rsidRPr="00000000">
              <w:rPr>
                <w:b w:val="1"/>
                <w:bCs w:val="1"/>
                <w:rtl w:val="0"/>
              </w:rPr>
              <w:t xml:space="preserve">Patrón Identificado: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Al analizar el gráfico de dispersión (ejes X e Y + tamaño de burbuja) al año 2026, los datos muestran que el mapa industrial no es homogéneo, sino que se fragmenta en tres perfiles de comportamiento claramente diferenciados por sus marcadas asimetrías operativas y de inserción externa.</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8">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Variable(s) Crítica(s):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Promedio de IPI (Eje Y), Promedio de UCII (Eje X), Promedio de Exportaciones en Millones USD (Tamaño de burbuja).</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B">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Grado de Confianza: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Alto (Series oficiales mensuales homogéneas extraídas del INDEC).</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Interpretación: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Los datos agrupan a las ramas industriales en tres perfiles definidos en el tablero:</w:t>
            </w:r>
          </w:p>
          <w:p w:rsidR="00000000" w:rsidDel="00000000" w:rsidP="00000000" w:rsidRDefault="00000000" w:rsidRPr="00000000" w14:paraId="00000041">
            <w:pPr>
              <w:spacing w:after="240" w:lineRule="auto"/>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b w:val="1"/>
                <w:bCs w:val="1"/>
                <w:rtl w:val="0"/>
              </w:rPr>
              <w:t xml:space="preserve">1. Sectores con alta producción (IPI alto), capacidad media-alta (UCII 50-70%) y fuertes a moderadas exportaciones:</w:t>
            </w:r>
            <w:r w:rsidDel="00000000" w:rsidR="00000000" w:rsidRPr="00000000">
              <w:rPr>
                <w:rtl w:val="0"/>
              </w:rPr>
              <w:t xml:space="preserve"> Ejemplificado por Alimentos y Bebidas, Automotriz y Productos Químicos.</w:t>
            </w:r>
          </w:p>
          <w:p w:rsidR="00000000" w:rsidDel="00000000" w:rsidP="00000000" w:rsidRDefault="00000000" w:rsidRPr="00000000" w14:paraId="00000043">
            <w:pPr>
              <w:spacing w:after="240" w:lineRule="auto"/>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b w:val="1"/>
                <w:bCs w:val="1"/>
                <w:rtl w:val="0"/>
              </w:rPr>
              <w:t xml:space="preserve">2. Sectores con un Uso Intensivo de Factores con buenas exportaciones:</w:t>
            </w:r>
            <w:r w:rsidDel="00000000" w:rsidR="00000000" w:rsidRPr="00000000">
              <w:rPr>
                <w:rtl w:val="0"/>
              </w:rPr>
              <w:t xml:space="preserve"> Como el de Refinación de Petróleo, los cuales se desplazan de forma contundente hacia el margen derecho del gráfico, registrando los porcentajes más altos de utilización de capacidad instalada (UCII máxima de 78,39%) de todo el tablero.</w:t>
            </w:r>
          </w:p>
          <w:p w:rsidR="00000000" w:rsidDel="00000000" w:rsidP="00000000" w:rsidRDefault="00000000" w:rsidRPr="00000000" w14:paraId="00000045">
            <w:pPr>
              <w:spacing w:after="240" w:lineRule="auto"/>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b w:val="1"/>
                <w:bCs w:val="1"/>
                <w:rtl w:val="0"/>
              </w:rPr>
              <w:t xml:space="preserve">3. Sectores rezagados con Registros Bajos en Todas las Variables:</w:t>
            </w:r>
            <w:r w:rsidDel="00000000" w:rsidR="00000000" w:rsidRPr="00000000">
              <w:rPr>
                <w:rtl w:val="0"/>
              </w:rPr>
              <w:t xml:space="preserve"> Agrupa de manera compacta a Productos Textiles, Productos de Tabaco y Productos de Caucho y Plástico. Estas ramas se ubican de forma estática en el cuadrante inferior izquierdo del tablero, manifestando un comportamiento contractivo y homogéneo.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Impacto Potencial: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Permite reconocer las </w:t>
            </w:r>
            <w:r w:rsidDel="00000000" w:rsidR="00000000" w:rsidRPr="00000000">
              <w:rPr>
                <w:rtl w:val="0"/>
              </w:rPr>
              <w:t xml:space="preserve">limitantes</w:t>
            </w:r>
            <w:r w:rsidDel="00000000" w:rsidR="00000000" w:rsidRPr="00000000">
              <w:rPr>
                <w:rtl w:val="0"/>
              </w:rPr>
              <w:t xml:space="preserve"> y realidades operativas de cada grupo, evitando diseñar políticas o incentivos uniformes que ignoren la fragmentación de la estructura industrial.</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0">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pStyle w:val="Heading1"/>
        <w:spacing w:after="240" w:before="240" w:lineRule="auto"/>
        <w:jc w:val="both"/>
        <w:rPr>
          <w:sz w:val="30"/>
          <w:szCs w:val="30"/>
        </w:rPr>
      </w:pPr>
      <w:bookmarkStart w:colFirst="0" w:colLast="0" w:name="_heading=h.u5vzwc40oul9" w:id="3"/>
      <w:bookmarkEnd w:id="3"/>
      <w:r w:rsidDel="00000000" w:rsidR="00000000" w:rsidRPr="00000000">
        <w:rPr>
          <w:sz w:val="28"/>
          <w:szCs w:val="28"/>
          <w:rtl w:val="0"/>
        </w:rPr>
        <w:t xml:space="preserve">INSIGHT 3: </w:t>
      </w:r>
      <w:r w:rsidDel="00000000" w:rsidR="00000000" w:rsidRPr="00000000">
        <w:rPr>
          <w:sz w:val="30"/>
          <w:szCs w:val="30"/>
          <w:rtl w:val="0"/>
        </w:rPr>
        <w:t xml:space="preserve">Evaluación de Eficiencia y Exportaciones para la Clasificación y Reconfiguración Industrial.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58">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59">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5A">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INS-003</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E">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Título Descriptivo: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rPr/>
            </w:pPr>
            <w:r w:rsidDel="00000000" w:rsidR="00000000" w:rsidRPr="00000000">
              <w:rPr>
                <w:rtl w:val="0"/>
              </w:rPr>
              <w:t xml:space="preserve">Evaluación de Eficiencia y Exportaciones para la Clasificación y Reconfiguración Industrial.</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1">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b w:val="1"/>
                <w:bCs w:val="1"/>
              </w:rPr>
            </w:pPr>
            <w:r w:rsidDel="00000000" w:rsidR="00000000" w:rsidRPr="00000000">
              <w:rPr>
                <w:b w:val="1"/>
                <w:bCs w:val="1"/>
                <w:rtl w:val="0"/>
              </w:rPr>
              <w:t xml:space="preserve">Categoría: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pPr>
            <w:r w:rsidDel="00000000" w:rsidR="00000000" w:rsidRPr="00000000">
              <w:rPr>
                <w:rtl w:val="0"/>
              </w:rPr>
              <w:t xml:space="preserve">Eficiencia Operativa / Priorización Estratégica.</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Patrón Identificado: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Al contrastar directamente la eficiencia de conversión (</w:t>
            </w:r>
            <w:r w:rsidDel="00000000" w:rsidR="00000000" w:rsidRPr="00000000">
              <w:rPr>
                <w:rFonts w:ascii="Roboto Mono" w:cs="Roboto Mono" w:eastAsia="Roboto Mono" w:hAnsi="Roboto Mono"/>
                <w:sz w:val="20"/>
                <w:szCs w:val="20"/>
                <w:rtl w:val="0"/>
              </w:rPr>
              <w:t xml:space="preserve">IPI / UCII</w:t>
            </w:r>
            <w:r w:rsidDel="00000000" w:rsidR="00000000" w:rsidRPr="00000000">
              <w:rPr>
                <w:rtl w:val="0"/>
              </w:rPr>
              <w:t xml:space="preserve">) frente al flujo comercial, los datos permiten clasificar las ramas industriales bajo tres realidades de cara a una reconfiguración productiva: sectores con capacidad de actuar como </w:t>
            </w:r>
            <w:r w:rsidDel="00000000" w:rsidR="00000000" w:rsidRPr="00000000">
              <w:rPr>
                <w:b w:val="1"/>
                <w:bCs w:val="1"/>
                <w:rtl w:val="0"/>
              </w:rPr>
              <w:t xml:space="preserve">motores de la economía</w:t>
            </w:r>
            <w:r w:rsidDel="00000000" w:rsidR="00000000" w:rsidRPr="00000000">
              <w:rPr>
                <w:rtl w:val="0"/>
              </w:rPr>
              <w:t xml:space="preserve">, un caso de </w:t>
            </w:r>
            <w:r w:rsidDel="00000000" w:rsidR="00000000" w:rsidRPr="00000000">
              <w:rPr>
                <w:b w:val="1"/>
                <w:bCs w:val="1"/>
                <w:rtl w:val="0"/>
              </w:rPr>
              <w:t xml:space="preserve">disociación operativa (Refinación)</w:t>
            </w:r>
            <w:r w:rsidDel="00000000" w:rsidR="00000000" w:rsidRPr="00000000">
              <w:rPr>
                <w:rtl w:val="0"/>
              </w:rPr>
              <w:t xml:space="preserve"> y el bloque de </w:t>
            </w:r>
            <w:r w:rsidDel="00000000" w:rsidR="00000000" w:rsidRPr="00000000">
              <w:rPr>
                <w:b w:val="1"/>
                <w:bCs w:val="1"/>
                <w:rtl w:val="0"/>
              </w:rPr>
              <w:t xml:space="preserve">sectores rezagados</w:t>
            </w:r>
            <w:r w:rsidDel="00000000" w:rsidR="00000000" w:rsidRPr="00000000">
              <w:rPr>
                <w:rtl w:val="0"/>
              </w:rPr>
              <w:t xml:space="preserve">.</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b w:val="1"/>
                <w:bCs w:val="1"/>
              </w:rPr>
            </w:pPr>
            <w:r w:rsidDel="00000000" w:rsidR="00000000" w:rsidRPr="00000000">
              <w:rPr>
                <w:b w:val="1"/>
                <w:bCs w:val="1"/>
                <w:rtl w:val="0"/>
              </w:rPr>
              <w:t xml:space="preserve">Variable(s) Crítica(s):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Relación calculada de Eficiencia Productiva (</w:t>
            </w:r>
            <w:r w:rsidDel="00000000" w:rsidR="00000000" w:rsidRPr="00000000">
              <w:rPr>
                <w:rFonts w:ascii="Roboto Mono" w:cs="Roboto Mono" w:eastAsia="Roboto Mono" w:hAnsi="Roboto Mono"/>
                <w:sz w:val="20"/>
                <w:szCs w:val="20"/>
                <w:rtl w:val="0"/>
              </w:rPr>
              <w:t xml:space="preserve">IPI / UCII</w:t>
            </w:r>
            <w:r w:rsidDel="00000000" w:rsidR="00000000" w:rsidRPr="00000000">
              <w:rPr>
                <w:rtl w:val="0"/>
              </w:rPr>
              <w:t xml:space="preserve"> en columnas), Promedio de Exportación (Línea).</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b w:val="1"/>
                <w:bCs w:val="1"/>
              </w:rPr>
            </w:pPr>
            <w:r w:rsidDel="00000000" w:rsidR="00000000" w:rsidRPr="00000000">
              <w:rPr>
                <w:b w:val="1"/>
                <w:bCs w:val="1"/>
                <w:rtl w:val="0"/>
              </w:rPr>
              <w:t xml:space="preserve">Grado de Confianza: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Alto (Series oficiales mensuales homogéneas extraídas del INDEC).</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D">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Interpretación: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El análisis cruzado del gráfico combinado determina las siguientes categorías estratégicas:</w:t>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b w:val="1"/>
                <w:bCs w:val="1"/>
                <w:rtl w:val="0"/>
              </w:rPr>
              <w:t xml:space="preserve">Motores Potenciales de la Economía (Alimentos, Químicos y Automotriz):</w:t>
            </w:r>
            <w:r w:rsidDel="00000000" w:rsidR="00000000" w:rsidRPr="00000000">
              <w:rPr>
                <w:rtl w:val="0"/>
              </w:rPr>
              <w:t xml:space="preserve"> Alimentos y Bebidas se consolida como el sector prioritario al presentar el índice de eficiencia productiva relativa más alto junto al aporte máximo de divisas En segundo orden, Químicos y Automotriz exhiben un balance altamente competitivo: óptimo indicador de eficiencia estructural en sus columnas con un aporte robusto y constante al mercado de exportación.</w:t>
            </w:r>
          </w:p>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b w:val="1"/>
                <w:bCs w:val="1"/>
                <w:rtl w:val="0"/>
              </w:rPr>
              <w:t xml:space="preserve">Caso de Disociación (Refinación de Petróleo):</w:t>
            </w:r>
            <w:r w:rsidDel="00000000" w:rsidR="00000000" w:rsidRPr="00000000">
              <w:rPr>
                <w:rtl w:val="0"/>
              </w:rPr>
              <w:t xml:space="preserve"> Aunque cuenta con un desempeño exportador relevante, se desplaza hacia la mitad inferior en términos de eficiencia interna de factores, exhibiendo un bajo índice de eficiencia técnica debido a que consume casi toda su capacidad instalada operativa (UCII máxima de 78,39%). Al haber agotado su margen de infraestructura actual, los datos indican que para aumentar su volumen de producción física (IPI) requiere inversiones de ampliación en sus plantas actuales o nuevas plantas.</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Sectores Rezagados:</w:t>
            </w:r>
            <w:r w:rsidDel="00000000" w:rsidR="00000000" w:rsidRPr="00000000">
              <w:rPr>
                <w:rtl w:val="0"/>
              </w:rPr>
              <w:t xml:space="preserve"> Productos Textiles, Productos de Tabaco y Caucho y Plástico se confirman en el fondo del gráfico, ocupando los últimos lugares en eficiencia relativa y manifestando una participación marginal en el comercio exterior.</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3">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Impacto Potencial: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Revela de forma directa las limitantes físicas del aparato productivo, demostrando que para expandir el volumen físico en Refinación de Petróleo se requiere inversión en bienes de capital para resolver el cuello de botella de su infraestructura al límite.</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Acción Propuesta: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Priorizar los recursos hacia los sectores motores, estructurar planes de inversión física para ampliar las plantas o instalar nuevas de Refinación de Petróleo, e implementar planes de contingencia urgentes sobre el bloque de sectores rezagados.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Prioridad: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Alta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b w:val="1"/>
                <w:bCs w:val="1"/>
              </w:rPr>
            </w:pPr>
            <w:r w:rsidDel="00000000" w:rsidR="00000000" w:rsidRPr="00000000">
              <w:rPr>
                <w:b w:val="1"/>
                <w:bCs w:val="1"/>
                <w:rtl w:val="0"/>
              </w:rPr>
              <w:t xml:space="preserve">Sprint Futuro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Simulación de impacto de inversiones estructurales en bienes de capital.</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Gqlc4ASP/+CiU/eDK0GkISq1g==">CgMxLjAyDmgubnYzZG51cHgxY3llMg5oLmlhOXZ5cnd2NHBrZDIOaC45aDN5Z3prc290Y3MyDmgudTV2endjNDBvdWw5OAByITFTTUtvVDBJMHFINjdMdUdlSUljQm1jMW9FLWhMVG5jTw==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