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Dashboard: Eficiencia Productiva en la Industria Manufacturera Argentina (2021–2026)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El presente dashboard reúne las visualizaciones del análisis exploratorio desarrollado en los Sprint 1 y 2, orientado a identificar perfiles de comportamiento productivo en la industria manufacturera argentina a partir del Índice de Producción Industrial (IPI) y la Utilización de la Capacidad Instalada Industrial (UCII) para el período 2021–2026. Se está trabajando en la incorporación del dataset de exportaciones, ya que lo hemos conseguido recientemente y está en proceso de ETL.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1 - Scatter: Posicionamiento sectorial IPI vs UCII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El gráfico de dispersión es la visualización central del proyecto. Cada punto representa un sector industrial posicionado según su producción promedio (eje Y, base 2004=100) y su utilización de capacidad instalada promedio (eje X, en porcentaje). Las líneas de referencia dividen el plano en cuatro cuadrantes con interpretación analítica diferenciada. El cuadrante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Alta Eficiencia</w:t>
      </w:r>
      <w:r w:rsidDel="00000000" w:rsidR="00000000" w:rsidRPr="00000000">
        <w:rPr>
          <w:sz w:val="24"/>
          <w:szCs w:val="24"/>
          <w:rtl w:val="0"/>
        </w:rPr>
        <w:t xml:space="preserve"> (IPI alto, UCII estable) concentra a la industria automotriz, que logra altos niveles de producción con una utilización moderada de infraestructura. El cuadrante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Insumos Estratégicos</w:t>
      </w:r>
      <w:r w:rsidDel="00000000" w:rsidR="00000000" w:rsidRPr="00000000">
        <w:rPr>
          <w:sz w:val="24"/>
          <w:szCs w:val="24"/>
          <w:rtl w:val="0"/>
        </w:rPr>
        <w:t xml:space="preserve"> (IPI alto, UCII alta) agrupa a Productos minerales no metálicos, Alimentos y bebidas, y Sustancias y productos químicos, sectores que operan tanto a alta producción como a alta ocupación de su capacidad. En el cuadrante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Ineficiencia Estructural</w:t>
      </w:r>
      <w:r w:rsidDel="00000000" w:rsidR="00000000" w:rsidRPr="00000000">
        <w:rPr>
          <w:sz w:val="24"/>
          <w:szCs w:val="24"/>
          <w:rtl w:val="0"/>
        </w:rPr>
        <w:t xml:space="preserve"> (IPI bajo, UCII alta) se ubican Refinación del petróleo e Industrias metálicas básicas, que mantienen alta utilización de la capacidad instalada pero menor dinamismo productivo. Finalmente, el cuadrante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Sectores Inestables</w:t>
      </w:r>
      <w:r w:rsidDel="00000000" w:rsidR="00000000" w:rsidRPr="00000000">
        <w:rPr>
          <w:sz w:val="24"/>
          <w:szCs w:val="24"/>
          <w:rtl w:val="0"/>
        </w:rPr>
        <w:t xml:space="preserve"> (IPI bajo, UCII baja) agrupa a Productos textiles, Productos de tabaco y Productos de caucho y plástico, los sectores con mayor capacidad ociosa y menor producción relativa.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 hallazgo,</w:t>
      </w:r>
      <w:commentRangeStart w:id="1"/>
      <w:r w:rsidDel="00000000" w:rsidR="00000000" w:rsidRPr="00000000">
        <w:rPr>
          <w:sz w:val="24"/>
          <w:szCs w:val="24"/>
          <w:rtl w:val="0"/>
        </w:rPr>
        <w:t xml:space="preserve"> tiene que ver con el sector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Refinación del petróleo, </w:t>
      </w:r>
      <w:r w:rsidDel="00000000" w:rsidR="00000000" w:rsidRPr="00000000">
        <w:rPr>
          <w:sz w:val="24"/>
          <w:szCs w:val="24"/>
          <w:rtl w:val="0"/>
        </w:rPr>
        <w:t xml:space="preserve">que tiene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mayor UCII pero un IPI medio-bajo, </w:t>
      </w:r>
      <w:r w:rsidDel="00000000" w:rsidR="00000000" w:rsidRPr="00000000">
        <w:rPr>
          <w:sz w:val="24"/>
          <w:szCs w:val="24"/>
          <w:rtl w:val="0"/>
        </w:rPr>
        <w:t xml:space="preserve">con 79,8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rtl w:val="0"/>
        </w:rPr>
        <w:t xml:space="preserve">7% de utilización pero un IPI que no lidera el ranking,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opera con altísima ocupación de infraestructura pero</w:t>
      </w:r>
      <w:commentRangeStart w:id="2"/>
      <w:r w:rsidDel="00000000" w:rsidR="00000000" w:rsidRPr="00000000">
        <w:rPr>
          <w:sz w:val="24"/>
          <w:szCs w:val="24"/>
          <w:rtl w:val="0"/>
        </w:rPr>
        <w:t xml:space="preserve"> sin traducirlo en producción industrial destacada.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También podemos visualizar (en el gráfico posterior de IPI), que tuvo un crecimiento sostenido en los últimos años: el período 2021–2026 coincid</w:t>
      </w:r>
      <w:commentRangeStart w:id="3"/>
      <w:commentRangeStart w:id="4"/>
      <w:r w:rsidDel="00000000" w:rsidR="00000000" w:rsidRPr="00000000">
        <w:rPr>
          <w:sz w:val="24"/>
          <w:szCs w:val="24"/>
          <w:rtl w:val="0"/>
        </w:rPr>
        <w:t xml:space="preserve">e exactamente con la expansión acelerada de la producción no convencional de petróleo y gas en la formación Vaca Muerta (Neuquén)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sz w:val="24"/>
          <w:szCs w:val="24"/>
          <w:rtl w:val="0"/>
        </w:rPr>
        <w:t xml:space="preserve">. A mayor extracción de crudo, mayor volumen para refinar.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Capacidad Instalada (UCII)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gráfico de barras apiladas muestra, para cada sector, la proporción entre capacidad instalada utilizada (azul oscuro) y capacidad ociosa (rosa). Ordenado de mayor a menor utilización, permite ver qué sectores utilizan en mayor medida su infraestructura disponible. La refinación del petróleo encabeza el ranking con una UCII promedio de 79,87%, mientras que Productos textiles registra el valor más bajo con 49,32%. El promedio general de la industria manufacturera para el período analizado es de 61,54%,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 que implica que cerca de 4 de cada 10 puntos de capacidad instalada permanecen sin utilizar en promedio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 Industrial (IPI)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43613" cy="2479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247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página de IPI presenta dos visualizaciones complementarias. El gráfico de barras horizontales muestra el ranking de sectores por IPI promedio: Productos minerales no metálicos lidera con valores cercanos a 170, seguido por Alimentos y bebidas y Automotriz, mientras que Productos de tabaco y Productos textiles registran los valores más bajos, por debajo de 80. El gráfico de líneas temporales muestra la evolución anual por sector entre 2021 y 2026, donde se observa una caída generalizada a partir de 2023–2024 en la mayoría de los sectores.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Eficiencia Productiva (UCII + IPI combinados)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página de eficiencia combina un gráfico de dispersión sectorial con un gráfico de líneas que muestra la evolución conjunta del promedio de UCII e IPI a lo largo del tiempo. Ambas series muestran un comportamiento similar: crecimiento hasta 2022–2023 y una caída pronunciada hacia 2024–2026. El segmentador de sectores permite filtrar esta evolución para cada sector específico.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Podemos destacar como un hallazgo que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caída 2024–2026 es transversal a la mayoría de los sectores.</w:t>
      </w:r>
      <w:r w:rsidDel="00000000" w:rsidR="00000000" w:rsidRPr="00000000">
        <w:rPr>
          <w:sz w:val="24"/>
          <w:szCs w:val="24"/>
          <w:rtl w:val="0"/>
        </w:rPr>
        <w:t xml:space="preserve"> El gráfico de líneas temporales muestra que prácticamente todos los sectores registran una caída en IPI y UCII a partir de 2023–2024.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ilvana Paez Jimenez" w:id="3" w:date="2026-05-30T21:14:59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tambien se van del enfoque del trabajo de la pp1</w:t>
      </w:r>
    </w:p>
  </w:comment>
  <w:comment w:author="Silvana Paez Jimenez" w:id="1" w:date="2026-05-30T20:54:11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bien!</w:t>
      </w:r>
    </w:p>
  </w:comment>
  <w:comment w:author="Silvana Paez Jimenez" w:id="2" w:date="2026-05-30T20:56:25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se salen del trabajo de ciencia de datos de pp1</w:t>
      </w:r>
    </w:p>
  </w:comment>
  <w:comment w:author="Silvana Paez Jimenez" w:id="4" w:date="2026-05-30T20:56:44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Siguen poniendo causualidad</w:t>
      </w:r>
    </w:p>
  </w:comment>
  <w:comment w:author="Silvana Paez Jimenez" w:id="0" w:date="2026-05-30T20:51:33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Revisen Alta eficiencia”, “Ineficiencia estructural, recuerden el enfoque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