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color w:val="0000ff"/>
        </w:rPr>
      </w:pPr>
      <w:r w:rsidDel="00000000" w:rsidR="00000000" w:rsidRPr="00000000">
        <w:rPr>
          <w:b w:val="1"/>
          <w:bCs w:val="1"/>
          <w:i w:val="1"/>
          <w:iCs w:val="1"/>
          <w:rtl w:val="0"/>
        </w:rPr>
        <w:t xml:space="preserve">Storytelling con Datos. </w:t>
      </w:r>
      <w:r w:rsidDel="00000000" w:rsidR="00000000" w:rsidRPr="00000000">
        <w:rPr>
          <w:rFonts w:ascii="Arial" w:cs="Arial" w:eastAsia="Arial" w:hAnsi="Arial"/>
          <w:b w:val="1"/>
          <w:bCs w:val="1"/>
          <w:color w:val="0000ff"/>
          <w:rtl w:val="0"/>
        </w:rPr>
        <w:t xml:space="preserve">Eficiencia productiva y capacidad ociosa en la industria manufacturera argentina: identificación de perfiles sectoriales 2021-2026</w:t>
      </w:r>
      <w:r w:rsidDel="00000000" w:rsidR="00000000" w:rsidRPr="00000000">
        <w:rPr>
          <w:rtl w:val="0"/>
        </w:rPr>
      </w:r>
    </w:p>
    <w:p w:rsidR="00000000" w:rsidDel="00000000" w:rsidP="00000000" w:rsidRDefault="00000000" w:rsidRPr="00000000" w14:paraId="00000002">
      <w:pPr>
        <w:jc w:val="both"/>
        <w:rPr>
          <w:b w:val="1"/>
          <w:bCs w:val="1"/>
        </w:rPr>
      </w:pPr>
      <w:r w:rsidDel="00000000" w:rsidR="00000000" w:rsidRPr="00000000">
        <w:rPr>
          <w:b w:val="1"/>
          <w:bCs w:val="1"/>
          <w:rtl w:val="0"/>
        </w:rPr>
        <w:t xml:space="preserve">1. Contexto. </w:t>
      </w:r>
    </w:p>
    <w:p w:rsidR="00000000" w:rsidDel="00000000" w:rsidP="00000000" w:rsidRDefault="00000000" w:rsidRPr="00000000" w14:paraId="00000003">
      <w:pPr>
        <w:ind w:left="0" w:firstLine="720"/>
        <w:jc w:val="both"/>
        <w:rPr>
          <w:rFonts w:ascii="Arial" w:cs="Arial" w:eastAsia="Arial" w:hAnsi="Arial"/>
        </w:rPr>
      </w:pPr>
      <w:r w:rsidDel="00000000" w:rsidR="00000000" w:rsidRPr="00000000">
        <w:rPr>
          <w:rFonts w:ascii="Arial" w:cs="Arial" w:eastAsia="Arial" w:hAnsi="Arial"/>
          <w:rtl w:val="0"/>
        </w:rPr>
        <w:t xml:space="preserve">Se llevó a cabo un análisis sobre el comportamiento del entramado industrial argentino durante el periodo 2021 – 2026. Para ello se utilizaron las siguientes variables: Índice de Producción Industrial, Utilización de la Capacidad Industrial Instalada y Exportaciones. Se utilizaron</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las bases de datos oficiales del INDEC.  Analizamos cómo interactúan la producción física, el uso de maquinaria y la generación de divisas por exportaciones. </w:t>
      </w:r>
    </w:p>
    <w:p w:rsidR="00000000" w:rsidDel="00000000" w:rsidP="00000000" w:rsidRDefault="00000000" w:rsidRPr="00000000" w14:paraId="00000004">
      <w:pPr>
        <w:ind w:left="0" w:firstLine="720"/>
        <w:jc w:val="both"/>
        <w:rPr/>
      </w:pPr>
      <w:r w:rsidDel="00000000" w:rsidR="00000000" w:rsidRPr="00000000">
        <w:rPr>
          <w:rFonts w:ascii="Arial" w:cs="Arial" w:eastAsia="Arial" w:hAnsi="Arial"/>
          <w:rtl w:val="0"/>
        </w:rPr>
        <w:t xml:space="preserve">El valor de este estudio radica en identificar perfiles sectoriales precisos (Ramas de Actividad) para orientar la reconfiguración y priorización de la política industrial del país.</w:t>
      </w:r>
      <w:r w:rsidDel="00000000" w:rsidR="00000000" w:rsidRPr="00000000">
        <w:rPr>
          <w:rtl w:val="0"/>
        </w:rPr>
      </w:r>
    </w:p>
    <w:p w:rsidR="00000000" w:rsidDel="00000000" w:rsidP="00000000" w:rsidRDefault="00000000" w:rsidRPr="00000000" w14:paraId="00000005">
      <w:pPr>
        <w:ind w:left="0" w:firstLine="0"/>
        <w:jc w:val="both"/>
        <w:rPr>
          <w:b w:val="1"/>
          <w:bCs w:val="1"/>
        </w:rPr>
      </w:pPr>
      <w:r w:rsidDel="00000000" w:rsidR="00000000" w:rsidRPr="00000000">
        <w:rPr>
          <w:b w:val="1"/>
          <w:bCs w:val="1"/>
          <w:rtl w:val="0"/>
        </w:rPr>
        <w:t xml:space="preserve">2. Conflicto o punto crítico. </w:t>
      </w:r>
    </w:p>
    <w:p w:rsidR="00000000" w:rsidDel="00000000" w:rsidP="00000000" w:rsidRDefault="00000000" w:rsidRPr="00000000" w14:paraId="00000006">
      <w:pPr>
        <w:ind w:left="0" w:firstLine="720"/>
        <w:jc w:val="both"/>
        <w:rPr/>
      </w:pPr>
      <w:r w:rsidDel="00000000" w:rsidR="00000000" w:rsidRPr="00000000">
        <w:rPr>
          <w:rFonts w:ascii="Arial" w:cs="Arial" w:eastAsia="Arial" w:hAnsi="Arial"/>
          <w:rtl w:val="0"/>
        </w:rPr>
        <w:t xml:space="preserve">El análisis identificó un quiebre contundente en la serie histórica: el año 2024 funcionó como un punto de inflexión crítico. Luego de un período de expansión productiva generalizada entre 2021 y 2023, el 2024 provocó una caída significativa y transversal en el Índice de Producción Industrial (IPI) de casi todas las ramas manufactureras , desatando un escenario de estancamiento y contracción con una sola excepción, el sector de Refinación del Petróleo que mantuvo un crecimiento sostenido. </w:t>
      </w:r>
      <w:r w:rsidDel="00000000" w:rsidR="00000000" w:rsidRPr="00000000">
        <w:rPr>
          <w:rtl w:val="0"/>
        </w:rPr>
      </w:r>
    </w:p>
    <w:p w:rsidR="00000000" w:rsidDel="00000000" w:rsidP="00000000" w:rsidRDefault="00000000" w:rsidRPr="00000000" w14:paraId="00000007">
      <w:pPr>
        <w:ind w:left="0" w:firstLine="0"/>
        <w:jc w:val="both"/>
        <w:rPr>
          <w:b w:val="1"/>
          <w:bCs w:val="1"/>
        </w:rPr>
      </w:pPr>
      <w:r w:rsidDel="00000000" w:rsidR="00000000" w:rsidRPr="00000000">
        <w:rPr>
          <w:b w:val="1"/>
          <w:bCs w:val="1"/>
          <w:rtl w:val="0"/>
        </w:rPr>
        <w:t xml:space="preserve">3. Análisis y hallazgos.</w:t>
      </w:r>
    </w:p>
    <w:p w:rsidR="00000000" w:rsidDel="00000000" w:rsidP="00000000" w:rsidRDefault="00000000" w:rsidRPr="00000000" w14:paraId="00000008">
      <w:pPr>
        <w:ind w:left="0" w:firstLine="720"/>
        <w:jc w:val="both"/>
        <w:rPr>
          <w:rFonts w:ascii="Arial" w:cs="Arial" w:eastAsia="Arial" w:hAnsi="Arial"/>
        </w:rPr>
      </w:pPr>
      <w:r w:rsidDel="00000000" w:rsidR="00000000" w:rsidRPr="00000000">
        <w:rPr>
          <w:rFonts w:ascii="Arial" w:cs="Arial" w:eastAsia="Arial" w:hAnsi="Arial"/>
          <w:rtl w:val="0"/>
        </w:rPr>
        <w:t xml:space="preserve">Al cruzar los datos en nuestro tablero, la estructura industrial argentina se mostró como un mapa heterogéneo, dividido en tres realidades distintas:</w:t>
      </w:r>
    </w:p>
    <w:p w:rsidR="00000000" w:rsidDel="00000000" w:rsidP="00000000" w:rsidRDefault="00000000" w:rsidRPr="00000000" w14:paraId="00000009">
      <w:pPr>
        <w:numPr>
          <w:ilvl w:val="0"/>
          <w:numId w:val="1"/>
        </w:numPr>
        <w:spacing w:after="0" w:line="276" w:lineRule="auto"/>
        <w:ind w:left="720" w:hanging="360"/>
        <w:jc w:val="both"/>
        <w:rPr/>
      </w:pPr>
      <w:r w:rsidDel="00000000" w:rsidR="00000000" w:rsidRPr="00000000">
        <w:rPr>
          <w:rFonts w:ascii="Arial" w:cs="Arial" w:eastAsia="Arial" w:hAnsi="Arial"/>
          <w:rtl w:val="0"/>
        </w:rPr>
        <w:t xml:space="preserve">Los sectores motores de la actividad manufacturera: El sector de Alimentos y Bebidas se consolidó como el pilar de la actividad industrial manufacturera. No solo mantuvo niveles de producción altos y estables durante la crisis de 2024 , sino que registró el índice de eficiencia relativa más alto (máxima producción con menor uso relativo de maquinaria) y el mayor volumen de divisas por exportaciones de todo el panel. Secundando este rendimiento, los sectores Químico y Automotriz demostraron también ser motores de alta competitividad y aporte robusto al mercado exterior.</w:t>
      </w:r>
    </w:p>
    <w:p w:rsidR="00000000" w:rsidDel="00000000" w:rsidP="00000000" w:rsidRDefault="00000000" w:rsidRPr="00000000" w14:paraId="0000000A">
      <w:pPr>
        <w:numPr>
          <w:ilvl w:val="0"/>
          <w:numId w:val="1"/>
        </w:numPr>
        <w:spacing w:after="0" w:line="276" w:lineRule="auto"/>
        <w:ind w:left="720" w:hanging="360"/>
        <w:jc w:val="both"/>
        <w:rPr/>
      </w:pPr>
      <w:r w:rsidDel="00000000" w:rsidR="00000000" w:rsidRPr="00000000">
        <w:rPr>
          <w:rFonts w:ascii="Arial" w:cs="Arial" w:eastAsia="Arial" w:hAnsi="Arial"/>
          <w:rtl w:val="0"/>
        </w:rPr>
        <w:t xml:space="preserve">La excepción energética: El sector de Refinación de Petróleo rompió la tendencia general. Fue el único que mantuvo una pendiente positiva y un crecimiento sostenido e inmune a la crisis post-2024. Sin embargo, el análisis bivariado reveló que opera al límite: registra la Utilización de la Capacidad Instalada (UCII) máxima de todo el tablero (78,39%). Esto explica su bajo índice de eficiencia técnica actual, ya que está consumiendo casi toda su infraestructura operativa disponible.</w:t>
      </w:r>
    </w:p>
    <w:p w:rsidR="00000000" w:rsidDel="00000000" w:rsidP="00000000" w:rsidRDefault="00000000" w:rsidRPr="00000000" w14:paraId="0000000B">
      <w:pPr>
        <w:numPr>
          <w:ilvl w:val="0"/>
          <w:numId w:val="1"/>
        </w:numPr>
        <w:spacing w:after="0" w:line="276" w:lineRule="auto"/>
        <w:ind w:left="720" w:hanging="360"/>
        <w:jc w:val="both"/>
        <w:rPr/>
      </w:pPr>
      <w:r w:rsidDel="00000000" w:rsidR="00000000" w:rsidRPr="00000000">
        <w:rPr>
          <w:rFonts w:ascii="Arial" w:cs="Arial" w:eastAsia="Arial" w:hAnsi="Arial"/>
          <w:rtl w:val="0"/>
        </w:rPr>
        <w:t xml:space="preserve">El bloque rezagado: En el extremo opuesto, sectores como Productos Textiles, Productos de Tabaco, y Caucho y Plástico manifestaron un comportamiento contractivo homogéneo. Se ubicaron de manera estática en el cuadrante más bajo, evidenciando niveles críticos de producción, alarmante capacidad ociosa e inserción marginal en el comercio internacional </w:t>
      </w:r>
      <w:r w:rsidDel="00000000" w:rsidR="00000000" w:rsidRPr="00000000">
        <w:rPr>
          <w:rtl w:val="0"/>
        </w:rPr>
        <w:t xml:space="preserve">clave.</w:t>
      </w:r>
    </w:p>
    <w:p w:rsidR="00000000" w:rsidDel="00000000" w:rsidP="00000000" w:rsidRDefault="00000000" w:rsidRPr="00000000" w14:paraId="0000000C">
      <w:pPr>
        <w:ind w:left="0" w:firstLine="0"/>
        <w:jc w:val="both"/>
        <w:rPr>
          <w:b w:val="1"/>
          <w:bCs w:val="1"/>
        </w:rPr>
      </w:pPr>
      <w:r w:rsidDel="00000000" w:rsidR="00000000" w:rsidRPr="00000000">
        <w:rPr>
          <w:rtl w:val="0"/>
        </w:rPr>
      </w:r>
    </w:p>
    <w:p w:rsidR="00000000" w:rsidDel="00000000" w:rsidP="00000000" w:rsidRDefault="00000000" w:rsidRPr="00000000" w14:paraId="0000000D">
      <w:pPr>
        <w:ind w:left="0" w:firstLine="0"/>
        <w:jc w:val="both"/>
        <w:rPr>
          <w:b w:val="1"/>
          <w:bCs w:val="1"/>
        </w:rPr>
      </w:pPr>
      <w:r w:rsidDel="00000000" w:rsidR="00000000" w:rsidRPr="00000000">
        <w:rPr>
          <w:b w:val="1"/>
          <w:bCs w:val="1"/>
          <w:rtl w:val="0"/>
        </w:rPr>
        <w:t xml:space="preserve">4.Resolución / aprendizaje.</w:t>
      </w:r>
    </w:p>
    <w:p w:rsidR="00000000" w:rsidDel="00000000" w:rsidP="00000000" w:rsidRDefault="00000000" w:rsidRPr="00000000" w14:paraId="0000000E">
      <w:pPr>
        <w:ind w:left="0" w:firstLine="720"/>
        <w:jc w:val="both"/>
        <w:rPr/>
      </w:pPr>
      <w:r w:rsidDel="00000000" w:rsidR="00000000" w:rsidRPr="00000000">
        <w:rPr>
          <w:rtl w:val="0"/>
        </w:rPr>
        <w:t xml:space="preserve">A partir de la evidencia, el equipo concluye que las estrategias de intervención deben ser diferenciadas por perfil:</w:t>
      </w:r>
    </w:p>
    <w:p w:rsidR="00000000" w:rsidDel="00000000" w:rsidP="00000000" w:rsidRDefault="00000000" w:rsidRPr="00000000" w14:paraId="0000000F">
      <w:pPr>
        <w:numPr>
          <w:ilvl w:val="0"/>
          <w:numId w:val="2"/>
        </w:numPr>
        <w:spacing w:after="0" w:line="276" w:lineRule="auto"/>
        <w:ind w:left="720" w:hanging="360"/>
        <w:jc w:val="both"/>
      </w:pPr>
      <w:r w:rsidDel="00000000" w:rsidR="00000000" w:rsidRPr="00000000">
        <w:rPr>
          <w:rtl w:val="0"/>
        </w:rPr>
        <w:t xml:space="preserve">Sostener y potenciar a los líderes (Alimentos, Químico y Automotriz) mediante incentivos a la exportación para apalancar su alta eficiencia y potencialidad de crecimiento.</w:t>
      </w:r>
    </w:p>
    <w:p w:rsidR="00000000" w:rsidDel="00000000" w:rsidP="00000000" w:rsidRDefault="00000000" w:rsidRPr="00000000" w14:paraId="00000010">
      <w:pPr>
        <w:numPr>
          <w:ilvl w:val="0"/>
          <w:numId w:val="2"/>
        </w:numPr>
        <w:spacing w:after="0" w:line="276" w:lineRule="auto"/>
        <w:ind w:left="720" w:hanging="360"/>
        <w:jc w:val="both"/>
      </w:pPr>
      <w:r w:rsidDel="00000000" w:rsidR="00000000" w:rsidRPr="00000000">
        <w:rPr>
          <w:rtl w:val="0"/>
        </w:rPr>
        <w:t xml:space="preserve">Ampliar la infraestructura industrial en Refinación de Petróleo. Los datos indican de manera predictiva que, al haber agotado su margen operativo de maquinaria, el sector requiere inversiones urgentes de ampliación de plantas o instalación de plantas nuevas si se quiere aumentar su volumen físico de producción (IPI).</w:t>
      </w:r>
    </w:p>
    <w:p w:rsidR="00000000" w:rsidDel="00000000" w:rsidP="00000000" w:rsidRDefault="00000000" w:rsidRPr="00000000" w14:paraId="00000011">
      <w:pPr>
        <w:numPr>
          <w:ilvl w:val="0"/>
          <w:numId w:val="2"/>
        </w:numPr>
        <w:spacing w:after="0" w:line="276" w:lineRule="auto"/>
        <w:ind w:left="720" w:hanging="360"/>
        <w:jc w:val="both"/>
      </w:pPr>
      <w:r w:rsidDel="00000000" w:rsidR="00000000" w:rsidRPr="00000000">
        <w:rPr>
          <w:rtl w:val="0"/>
        </w:rPr>
        <w:t xml:space="preserve">Asistir y reconfigurar las ramas ligadas al consumo interno (Textil, Tabaco y Plásticos) para sacarlas del estancamiento crítico.</w:t>
      </w:r>
    </w:p>
    <w:p w:rsidR="00000000" w:rsidDel="00000000" w:rsidP="00000000" w:rsidRDefault="00000000" w:rsidRPr="00000000" w14:paraId="00000012">
      <w:pPr>
        <w:spacing w:after="0" w:line="276" w:lineRule="auto"/>
        <w:ind w:left="720" w:firstLine="0"/>
        <w:jc w:val="both"/>
        <w:rPr/>
      </w:pPr>
      <w:r w:rsidDel="00000000" w:rsidR="00000000" w:rsidRPr="00000000">
        <w:rPr>
          <w:rtl w:val="0"/>
        </w:rPr>
      </w:r>
    </w:p>
    <w:p w:rsidR="00000000" w:rsidDel="00000000" w:rsidP="00000000" w:rsidRDefault="00000000" w:rsidRPr="00000000" w14:paraId="00000013">
      <w:pPr>
        <w:ind w:left="0" w:firstLine="0"/>
        <w:jc w:val="both"/>
        <w:rPr>
          <w:b w:val="1"/>
          <w:bCs w:val="1"/>
        </w:rPr>
      </w:pPr>
      <w:r w:rsidDel="00000000" w:rsidR="00000000" w:rsidRPr="00000000">
        <w:rPr>
          <w:b w:val="1"/>
          <w:bCs w:val="1"/>
          <w:rtl w:val="0"/>
        </w:rPr>
        <w:t xml:space="preserve">5.Mensaje final (valor estratégico). </w:t>
      </w:r>
    </w:p>
    <w:p w:rsidR="00000000" w:rsidDel="00000000" w:rsidP="00000000" w:rsidRDefault="00000000" w:rsidRPr="00000000" w14:paraId="00000014">
      <w:pPr>
        <w:ind w:left="0" w:firstLine="720"/>
        <w:jc w:val="both"/>
        <w:rPr/>
      </w:pPr>
      <w:r w:rsidDel="00000000" w:rsidR="00000000" w:rsidRPr="00000000">
        <w:rPr>
          <w:rtl w:val="0"/>
        </w:rPr>
        <w:t xml:space="preserve">Nuestro análisis va más allá del registro histórico. Al entrecruzar la producción física, el uso real de las plantas y las exportaciones , se transforma en una herramienta de diagnóstico estratégico. Este análisis permite identificar cuáles sectores funcionan como motores productores de divisas y potencialidad de crecimiento, y dónde es urgente inyectar capital de inversión para superar los techos de infraestructura (cuellos de botella) y cuales requieren medidas para afrontar su rezago crónico para poder así guiar la reconfiguración industrial argentina hacia el futuro.</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headerReference r:id="rId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thMp479AXWXEXzT1l4yyZ5uSuA==">CgMxLjA4AHIhMUdCS25NdmF1ZXZoZXBHb2szWHBwLWhXUTFBUUFTTnhx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