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Exile and the Imagined Homeland in the Contemporary Turkish Novel</w:t>
      </w:r>
    </w:p>
    <w:p>
      <w:pPr>
        <w:pStyle w:val="Heading1"/>
      </w:pPr>
      <w:r>
        <w:t xml:space="preserve">1. Introduction</w:t>
      </w:r>
    </w:p>
    <w:p>
      <w:r>
        <w:t xml:space="preserve">There is several reasons to revisit the question now. Archival work would settle several of these questions and has not been undertaken. This chapter examine how three novelists write exile. The scholarship on this topic were reviewed in the previous section. The distinction is doing real work even so, and it is worth trying to state.</w:t>
      </w:r>
    </w:p>
    <w:p>
      <w:r>
        <w:t xml:space="preserve">According to me, the critical consensus settled too early. The manuscript circulated privately for some years before any publisher would take it. The argument is persuasive, however this is not the whole story. The later criticism inherited that judgement without re-examining it. Informations about the reception of these works is limited.</w:t>
      </w:r>
    </w:p>
    <w:p>
      <w:r>
        <w:t xml:space="preserve">The findings has been reported elsewhere. Her argument turns on a distinction between the remembered and the imagined that she does not define. Few studies has asked what the imagined homeland does structurally. The narrator's memory is unreliable in a specific way: it is precise about rooms and vague about years. Despite of the volume of work on diaspora, the question remains open.</w:t>
      </w:r>
    </w:p>
    <w:p>
      <w:pPr>
        <w:pStyle w:val="Heading1"/>
      </w:pPr>
      <w:r>
        <w:t xml:space="preserve">2. Theoretical Framework</w:t>
      </w:r>
    </w:p>
    <w:p>
      <w:r>
        <w:t xml:space="preserve">This phenomena is well documented in the criticism of the period. These result shows that the assumption is rarely examined. The imagined homeland is not a setting in these novels but a device that organises the narration. The journals that carried this criticism are not indexed by any of the major databases. Several study treats the homeland as mere background.</w:t>
      </w:r>
    </w:p>
    <w:p>
      <w:r>
        <w:t xml:space="preserve">Reviewers at the time noticed the repetition and treated it as a weakness. A analysis of two book reveal the pattern. The data was collected over two decades. Critics who read the work as autobiography have had to discount its most formally ambitious passages. Which explains the persistence of the reading.</w:t>
      </w:r>
    </w:p>
    <w:p>
      <w:r>
        <w:t xml:space="preserve">The author discuss about the theme of return at length. The symmetry is too consistent to be accidental and too unremarked to be deliberate. The narrator does not offer no resolution. In the the second chapter, the question returns. Censorship accounts for some of the silences, though not for their placement.</w:t>
      </w:r>
    </w:p>
    <w:p>
      <w:r>
        <w:t xml:space="preserve">The imagined homeland is not a setting in these novels but a device that organises the narration. Three student was asked to annotate the passages. The annotations was then compared across readers. Attributing it to a single precursor requires ignoring the chronology. The present study aims to understanding the device.</w:t>
      </w:r>
    </w:p>
    <w:p>
      <w:pPr>
        <w:pStyle w:val="Heading2"/>
      </w:pPr>
      <w:r>
        <w:t xml:space="preserve">2.1 The Homeland as a Narrative Device Rather Than a Setting</w:t>
      </w:r>
    </w:p>
    <w:p>
      <w:r>
        <w:t xml:space="preserve">The distinction is doing real work even so, and it is worth trying to state. The translator recieved the manuscript in two seperate parts. The novel were published in 1952, it was translated later. The narrator's memory is unreliable in a specific way: it is precise about rooms and vague about years. The distinction is more easier to state than to defend.</w:t>
      </w:r>
    </w:p>
    <w:p>
      <w:r>
        <w:t xml:space="preserve">The researches on this question are inconclusive. Criticism of the 1990s treated the motif as biographical, and that reading has proved difficult to dislodge. It is important to note that neither writer says so directly. Due to the fact that the corpus is small, the results are provisional. Translation history complicates the picture, since several of these works reached their readers in Turkish only decades later.</w:t>
      </w:r>
    </w:p>
    <w:p>
      <w:r>
        <w:t xml:space="preserve">The criteria is not met by any of the cases examined here. The figure of the locked room recurs in writers who have no plausible knowledge of one another. He were present at both of the interviews. Neither reading accounts for the shift in tense that accompanies it. Many people was involved in preparing the transcriptions.</w:t>
      </w:r>
    </w:p>
    <w:p>
      <w:pPr>
        <w:pStyle w:val="Heading2"/>
      </w:pPr>
      <w:r>
        <w:t xml:space="preserve">2.2 Method</w:t>
      </w:r>
    </w:p>
    <w:p>
      <w:r>
        <w:t xml:space="preserve">The responses was coded independently by two readers. These children was tested twice, six months apart. The author cites four source in that chapter. What the récit withholds is as structured as what it supplies. Scholarship in Turkish has addressed the question at length and is poorly represented in the international indexes.</w:t>
      </w:r>
    </w:p>
    <w:p>
      <w:r>
        <w:t xml:space="preserve">Several study of the reception exist, but none is recent. That implausibility is the point, and the criticism has treated it as a flaw. i would argue that the consequence is a different periodisation. The novel is more better in its revised form. Translation history complicates the picture, since several of these works reached their readers in Turkish only decades later.</w:t>
      </w:r>
    </w:p>
    <w:p>
      <w:pPr>
        <w:pStyle w:val="Heading1"/>
      </w:pPr>
      <w:r>
        <w:t xml:space="preserve">3. Analysis</w:t>
      </w:r>
    </w:p>
    <w:p>
      <w:r>
        <w:t xml:space="preserve">Comparative work on this material is thin, and the reasons for that are institutional rather than intellectual. The narrator's memory is unreliable in a specific way: it is precise about rooms and vague about years. The reading is supported by the evidence!! The evidence is set out above ( as described in section 3 ). The period 1960-1985 saw the motif displaced by another.</w:t>
      </w:r>
    </w:p>
    <w:p>
      <w:r>
        <w:t xml:space="preserve">The novel's chronology folds back on itself at the midpoint, and nothing in the prose marks the fold. The chapter  returns to this question at its close. Critics who read the work as autobiography have had to discount its most formally ambitious passages.</w:t>
      </w:r>
    </w:p>
    <w:p>
      <w:r>
        <w:t xml:space="preserve">These children was tested twice, six months apart. i would argue that the consequence is a different periodisation. The author cites four source in that chapter. The findings has been reported elsewhere.</w:t>
      </w:r>
    </w:p>
    <w:p>
      <w:pPr>
        <w:pStyle w:val="Heading2"/>
      </w:pPr>
      <w:r>
        <w:t xml:space="preserve">3.1 Doubled and Illusory Reality in the Discourse of the Narrator</w:t>
      </w:r>
    </w:p>
    <w:p>
      <w:r>
        <w:t xml:space="preserve">The researches on this question are inconclusive. The imagined homeland is not a setting in these novels but a device that organises the narration. The reading is supported by the evidence!! The scholarship on this topic were reviewed in the previous section. It is important to note that neither writer says so directly. Reviewers at the time noticed the repetition and treated it as a weakness. Reception in the periodical press was warmer than the later academic consensus suggests.</w:t>
      </w:r>
    </w:p>
    <w:p>
      <w:r>
        <w:t xml:space="preserve">Scholarship in Turkish has addressed the question at length and is poorly represented in the international indexes. The imagined homeland is not a setting in these novels but a device that organises the narration. Periodisation has followed political history here, and the literary evidence does not obviously agree. Neither reading accounts for the shift in tense that accompanies it.</w:t>
      </w:r>
    </w:p>
    <w:p>
      <w:r>
        <w:t xml:space="preserve">The data was collected over two decades. Critics who read the work as autobiography have had to discount its most formally ambitious passages. The distinction is more easier to state than to defend. Archival work would settle several of these questions and has not been undertaken.</w:t>
      </w:r>
    </w:p>
    <w:p>
      <w:pPr>
        <w:pStyle w:val="Heading2"/>
      </w:pPr>
      <w:r>
        <w:t xml:space="preserve">3.2 Melancholia as Authentic Resistance and Transcendence</w:t>
      </w:r>
    </w:p>
    <w:p>
      <w:r>
        <w:t xml:space="preserve">The novel's chronology folds back on itself at the midpoint, and nothing in the prose marks the fold. The manuscript circulated privately for some years before any publisher would take it. Comparative work on this material is thin, and the reasons for that are institutional rather than intellectual. The later criticism inherited that judgement without re-examining it. Which explains the persistence of the reading. i would argue that the consequence is a different periodisation. Due to the fact that the corpus is small, the results are provisional.</w:t>
      </w:r>
    </w:p>
    <w:p>
      <w:r>
        <w:t xml:space="preserve">That implausibility is the point, and the criticism has treated it as a flaw. Despite of the volume of work on diaspora, the question remains open. In the the second chapter, the question returns. It is important to note that neither writer says so directly. The period 1960-1985 saw the motif displaced by another. The journals that carried this criticism are not indexed by any of the major databases. The argument is persuasive, however this is not the whole story.</w:t>
      </w:r>
    </w:p>
    <w:p>
      <w:pPr>
        <w:pStyle w:val="Heading2"/>
      </w:pPr>
      <w:r>
        <w:t xml:space="preserve">3.3 The Spider, the Moth and the Problem of the Real</w:t>
      </w:r>
    </w:p>
    <w:p>
      <w:r>
        <w:t xml:space="preserve">The later criticism inherited that judgement without re-examining it. A close reading of the opening paragraph shows the device already in operation. The data was collected over two decades. Translation history complicates the picture, since several of these works reached their readers in Turkish only decades later. The criteria is not met by any of the cases examined here.</w:t>
      </w:r>
    </w:p>
    <w:p>
      <w:r>
        <w:t xml:space="preserve">These result shows that the assumption is rarely examined. Several study of the reception exist, but none is recent. The novel's chronology folds back on itself at the midpoint, and nothing in the prose marks the fold. The findings has been reported elsewhere. Periodisation has followed political history here, and the literary evidence does not obviously agree.</w:t>
      </w:r>
    </w:p>
    <w:p>
      <w:pPr>
        <w:pStyle w:val="Heading1"/>
      </w:pPr>
      <w:r>
        <w:t xml:space="preserve">4. Reception</w:t>
      </w:r>
    </w:p>
    <w:p>
      <w:r>
        <w:t xml:space="preserve">Criticism of the 1990s treated the motif as biographical, and that reading has proved difficult to dislodge. Three of the novels were serialised before they appeared as books, which affected their structure. Tanpınar returns to the same street in three separate works, each time from a different distance. The argument is persuasive, however this is not the whole story. Comparative work on this material is thin, and the reasons for that are institutional rather than intellectual.</w:t>
      </w:r>
    </w:p>
    <w:p>
      <w:r>
        <w:t xml:space="preserve">The argument is persuasive, however this is not the whole story. The novel is more better in its revised form. Tanpınar returns to the same street in three separate works, each time from a different distance. The novel's chronology folds back on itself at the midpoint, and nothing in the prose marks the fold. Periodisation has followed political history here, and the literary evidence does not obviously agree. The motif appears in poetry of the same decade, which suggests a shared source rather than influence.</w:t>
      </w:r>
    </w:p>
    <w:p>
      <w:r>
        <w:t xml:space="preserve">That implausibility is the point, and the criticism has treated it as a flaw. Criticism of the 1990s treated the motif as biographical, and that reading has proved difficult to dislodge. Each of the three novels opens with an arrival and closes without a departure. Due to the fact that the corpus is small, the results are provisional.</w:t>
      </w:r>
    </w:p>
    <w:p>
      <w:r>
        <w:t xml:space="preserve">Reviewers at the time noticed the repetition and treated it as a weakness. According to me, the critical consensus settled too early. The correspondence is held in two archives and has never been published in full. Periodisation has followed political history here, and the literary evidence does not obviously agree. The symmetry is too consistent to be accidental and too unremarked to be deliberate. Archival work would settle several of these questions and has not been undertaken. The narrator's memory is unreliable in a specific way: it is precise about rooms and vague about years.</w:t>
      </w:r>
    </w:p>
    <w:p>
      <w:pPr>
        <w:pStyle w:val="Heading2"/>
      </w:pPr>
      <w:r>
        <w:t xml:space="preserve">4.1 The Periodical Press</w:t>
      </w:r>
    </w:p>
    <w:p>
      <w:r>
        <w:t xml:space="preserve">According to me, the critical consensus settled too early. The second edition restores a chapter that the first omitted without explanation. A distinction between exile and emigration is assumed throughout the criticism and rarely argued for. The later criticism inherited that judgement without re-examining it.</w:t>
      </w:r>
    </w:p>
    <w:p>
      <w:r>
        <w:t xml:space="preserve">This chapter examine how three novelists write exile. Readers encounter the city twice, once as remembered and once as found, and the two never reconcile. Censorship accounts for some of the silences, though not for their placement. Periodisation has followed political history here, and the literary evidence does not obviously agree. The published ending is the third of those, not the last. Critics who read the work as autobiography have had to discount its most formally ambitious passages. In the the second chapter, the question returns.</w:t>
      </w:r>
    </w:p>
    <w:p>
      <w:pPr>
        <w:pStyle w:val="Heading1"/>
      </w:pPr>
      <w:r>
        <w:t xml:space="preserve">References</w:t>
      </w:r>
    </w:p>
    <w:p>
      <w:r>
        <w:t xml:space="preserve">Alexandrov, V. (1991). Nabokov's Otherworld. Princeton University Press. https://doi.org/10.1515/9781400861712</w:t>
      </w:r>
    </w:p>
    <w:p>
      <w:r>
        <w:t xml:space="preserve">Berberova, N., &amp; Nabokov, V. (1967). The Mechanics of Pale Fire. TriQuarterly, 17, 147-159</w:t>
      </w:r>
    </w:p>
    <w:p>
      <w:r>
        <w:t xml:space="preserve">Connolly, J. W. (1992). Nabokov's Early Fiction: Patterns of Self and Other. Cambridge University Press</w:t>
      </w:r>
    </w:p>
    <w:p>
      <w:r>
        <w:t xml:space="preserve">Seyhan, A. (2001). Writing Outside the Nation. Princeton University Press</w:t>
      </w:r>
    </w:p>
    <w:p>
      <w:r>
        <w:t xml:space="preserve">Seyhan, A. (2008). Tales of Crossed Destinies: The Modern Turkish Novel. Modern Language Association</w:t>
      </w:r>
    </w:p>
    <w:p>
      <w:r>
        <w:t xml:space="preserve">Tanpınar, A. H. (1949). Huzur. Remzi Kitabevi</w:t>
      </w:r>
    </w:p>
    <w:p>
      <w:r>
        <w:t xml:space="preserve">Venuti, L. (1995). The Translator's Invisibility: A History of Translation. Routledge</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spacing w:after="160" w:line="276" w:lineRule="auto"/>
    </w:pPr>
  </w:style>
  <w:style w:type="paragraph" w:styleId="Heading1">
    <w:name w:val="heading 1"/>
    <w:basedOn w:val="Normal"/>
    <w:pPr>
      <w:keepNext/>
      <w:spacing w:before="320" w:after="160"/>
      <w:outlineLvl w:val="0"/>
    </w:pPr>
    <w:rPr>
      <w:b/>
      <w:sz w:val="32"/>
    </w:rPr>
  </w:style>
  <w:style w:type="paragraph" w:styleId="Heading2">
    <w:name w:val="heading 2"/>
    <w:basedOn w:val="Normal"/>
    <w:pPr>
      <w:keepNext/>
      <w:spacing w:before="280" w:after="14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