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00000"/>
          <w:sz w:val="24"/>
        </w:rPr>
        <w:t>COVER LETTER</w:t>
      </w:r>
    </w:p>
    <w:p>
      <w:r>
        <w:rPr>
          <w:b w:val="0"/>
          <w:i/>
          <w:color w:val="555555"/>
          <w:sz w:val="18"/>
        </w:rPr>
        <w:t>Serial CV-20260915-0057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Serial CV-20260915-0057</w:t>
      </w:r>
    </w:p>
    <w:p>
      <w:r>
        <w:rPr>
          <w:b w:val="0"/>
          <w:i w:val="0"/>
          <w:color w:val="000000"/>
          <w:sz w:val="20"/>
        </w:rPr>
        <w:t>============================================================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Dear Hiring Manager,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am applying for the Domain Leader Finance role at Manages Large. I understand Doyen Auto is a 1922-year-old automotive aftermarket parts distributor (wholesale of vehicle parts and accessories), headquartered in Drogenbos, Belgium, and part of Parts Holding Europe, a leading Western Europe spare-parts group., which is why this ERP transformation (Infor M3 replacing the legacy AS/400) sits so directly with my strength: leading finance-process integration during large ERP replacements.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As Business Analyst on the SAP S/4HANA migration (Engie SEM) and the SAP HANA migration (Holcim), I owned AS-IS to TO-BE process design, ran cross-functional workshops, and reconciled finance sub-processes into the new system. I also automate financial close (PowerQuery ETL, 1,500+ bookings per close with zero manual intervention) and deliver clear stakeholder reporting (Power BI, Cognos).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hold an ESCP Master's in Auditing &amp; Consulting and have hands-on budgeting, forecasting and multi-entity IFRS reporting experience - directly relevant to a project spanning multiple entities across several countries.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recognise two minor gaps: explicit day-to-day AP/AR bookkeeping and Dutch. I address the first through my formal auditing qualification and fast-learning profile, and the second with a concrete plan to reach working NL comprehension during the assignment. I work well on-site, respect deadlines, and communicate clearly from top management to end users.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 w:val="0"/>
          <w:color w:val="000000"/>
          <w:sz w:val="20"/>
        </w:rPr>
        <w:t>I would welcome a conversation to discuss how I can contribute to the project.</w:t>
      </w:r>
    </w:p>
    <w:p>
      <w:r>
        <w:rPr>
          <w:b w:val="0"/>
          <w:i w:val="0"/>
          <w:color w:val="000000"/>
          <w:sz w:val="20"/>
        </w:rPr>
      </w:r>
    </w:p>
    <w:p>
      <w:r>
        <w:rPr>
          <w:b w:val="0"/>
          <w:i/>
          <w:color w:val="000000"/>
          <w:sz w:val="20"/>
        </w:rPr>
        <w:t>Best regards,</w:t>
      </w:r>
    </w:p>
    <w:p>
      <w:r>
        <w:rPr>
          <w:b w:val="0"/>
          <w:i w:val="0"/>
          <w:color w:val="000000"/>
          <w:sz w:val="20"/>
        </w:rPr>
        <w:t>Ernest SONG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