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APPLICATION DOSSIER</w:t>
      </w:r>
    </w:p>
    <w:p>
      <w:pPr>
        <w:jc w:val="left"/>
      </w:pPr>
      <w:r>
        <w:rPr>
          <w:b w:val="0"/>
          <w:color w:val="555555"/>
          <w:sz w:val="24"/>
        </w:rPr>
        <w:t>Serial CV-20260914-0019</w:t>
      </w:r>
    </w:p>
    <w:p>
      <w:pPr>
        <w:jc w:val="center"/>
      </w:pPr>
      <w:r>
        <w:rPr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333333"/>
          <w:sz w:val="22"/>
        </w:rPr>
        <w:t>Director of Finance (United States) — candidate Ernest SONG</w:t>
      </w:r>
    </w:p>
    <w:p>
      <w:pPr>
        <w:spacing w:after="80" w:before="0"/>
      </w:pPr>
      <w:r>
        <w:rPr>
          <w:b/>
          <w:i w:val="0"/>
          <w:color w:val="555555"/>
          <w:sz w:val="20"/>
        </w:rPr>
        <w:t>Serial CV-20260914-0019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 (Instacart, Chobani, Saab, FindLev, Marriott).</w:t>
      </w:r>
    </w:p>
    <w:p>
      <w:pPr>
        <w:spacing w:after="80" w:before="0"/>
      </w:pPr>
      <w:r>
        <w:rPr>
          <w:b w:val="0"/>
          <w:i w:val="0"/>
          <w:color w:val="888888"/>
          <w:sz w:val="18"/>
        </w:rPr>
        <w:t>All evidence below is drawn from the candidate's base CV; no experience, metric, company or location is invented.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33333"/>
          <w:sz w:val="24"/>
        </w:rPr>
        <w:t>Part 1 — Argumentation: relevant, truthful, role-mapped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color w:val="333333"/>
                <w:sz w:val="22"/>
              </w:rPr>
              <w:t>Requirement (inferred from JD)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color w:val="333333"/>
                <w:sz w:val="22"/>
              </w:rPr>
              <w:t>Candidate evidence (from base CV)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Financial reporting (monthly / quarterly)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Led financial reporting across BE/FR/NL subsidiaries (Rexel IFRS reporting, Engie SEM controlling). Directly maps to the JD's monthly/quarterly reporting cadence.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Budgeting &amp; forecasting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At Engie SEM delivered a budgeting &amp; forecasting model from scratch within two weeks, replacing an unreliable legacy framework; at Rexel led annual budgeting and monthly forecasting.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P&amp;L responsibility / P&amp;L-adjacent partnership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Operated under P&amp;L and treasury oversight as interim CFO at Magnetrap; negotiated concession contracts at Vinci Airports affecting the top line. Comfortable partnering with the business.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Financial close / month-end close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Automated close with PowerQuery ETL (1,500+ bookings per close, zero manual intervention); strong month-end close leadership for trading and subsidiary operations.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Multi-entity GL / AP / AR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12+ entities across BE, FR, NL; general accounting, reconciliation of middle-office (IVDB) data, SAP S/4HANA / SAP HANA consolidation. Solid direct-match on the GL requirement.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Cash flow management / treasury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Designed cash-flow reporting and per-project cash exposure at Engie Tractebel; arranged €3M debt/equity financing and performed counterpart credit analysis and impairment testing.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Strategic finance / financial modeling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Built long-term business models (macroeconomic impact, CapEx, concession valuation) and rebate models aligned to commercial strategy.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BI / dashboards (Power BI)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Rolled out Power BI, Cognos, QlikSense and Business Objects reporting on top of SAP HANA / S/4HANA / BPC — turns raw data into executive decision-support, matching the JD's decision-support emphasis.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Cross-functional / operations partnering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Sat on both the operator's and executive side of the table; coordinated IT architecture and business operations as core Business Analyst during ERP migrations.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Team leadership / stakeholder management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Led audit teams at KPMG and operations across 50+ airport sites at Vinci Airports; mentored cross-functional teams.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Governance, internal control &amp; regulatory reporting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ESCP auditing qualification; SOX process testing at KPMG Audit; regulatory-reporting sourcing at Degroof Petercam.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20"/>
              </w:rPr>
              <w:t>Change management / ERP transition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Led AS-IS to TO-BE process design, gap analysis and change-management structures (Tobania, Degroof Petercam) — directly transferable to an ERP replacement programme.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b/>
          <w:i w:val="0"/>
          <w:color w:val="333333"/>
          <w:sz w:val="20"/>
        </w:rPr>
        <w:t>Gaps honestly acknowledged (never exaggerated):</w:t>
      </w:r>
    </w:p>
    <w:p>
      <w:pPr>
        <w:spacing w:after="60" w:before="0"/>
      </w:pPr>
      <w:r>
        <w:rPr>
          <w:b w:val="0"/>
          <w:i w:val="0"/>
          <w:sz w:val="18"/>
        </w:rPr>
        <w:t>• US GAAP / SEC / public-company context — not used directly; covered via a structured onboarding ramp (IFRS / BE-GAAP consolidation foundation transfers cleanly).</w:t>
      </w:r>
    </w:p>
    <w:p>
      <w:pPr>
        <w:spacing w:after="60" w:before="0"/>
      </w:pPr>
      <w:r>
        <w:rPr>
          <w:b w:val="0"/>
          <w:i w:val="0"/>
          <w:sz w:val="18"/>
        </w:rPr>
        <w:t>• US-based employer / US work context — all experience is Europe (BE / FR / PT); addressed with a clear ramp and fast-learning profile.</w:t>
      </w:r>
    </w:p>
    <w:p>
      <w:pPr>
        <w:spacing w:after="60" w:before="0"/>
      </w:pPr>
      <w:r>
        <w:rPr>
          <w:b w:val="0"/>
          <w:i w:val="0"/>
          <w:sz w:val="18"/>
        </w:rPr>
        <w:t>• Explicit standing day-to-day AP/AR bookkeeping as a dedicated role — covered via ESCP auditing qualification and rapid domain learning.</w:t>
      </w:r>
    </w:p>
    <w:p>
      <w:pPr>
        <w:spacing w:after="60" w:before="0"/>
      </w:pPr>
      <w:r>
        <w:rPr>
          <w:b w:val="0"/>
          <w:i w:val="0"/>
          <w:sz w:val="18"/>
        </w:rPr>
        <w:t>• Named finance org chart / direct reports — influence and team leadership proven; management structure addressed with a ramp plan.</w:t>
      </w:r>
    </w:p>
    <w:p>
      <w:r>
        <w:rPr>
          <w:b/>
          <w:color w:val="333333"/>
          <w:sz w:val="24"/>
        </w:rPr>
        <w:t>Part 2 — Fit / availability form (recruiter quick-check)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color w:val="333333"/>
                <w:sz w:val="22"/>
              </w:rPr>
              <w:t>Field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color w:val="333333"/>
                <w:sz w:val="22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Position applying for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Director of Finance (US, remote / hybrid)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Availability to start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Available immediately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Interview availability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Flexible — reachable on short notice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Previously scheduled holidays during assignment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None planned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 xml:space="preserve"> willingness for full-time engagement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Remote / hybrid / on-site preference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Hybrid / on-site or remote, per requirement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Expected compensation (US market)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US$110k–190k range (aligns with JD posting; open to discussion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Top 3 strengths for this role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1) Multi-entity financial reporting &amp; close  2) Budgeting &amp; forecasting from scratch  3) ERP/BI data-to-reporting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/>
                <w:sz w:val="20"/>
              </w:rPr>
              <w:t>Potential areas to ramp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40" w:before="40"/>
            </w:pPr>
            <w:r>
              <w:rPr>
                <w:b w:val="0"/>
                <w:sz w:val="18"/>
              </w:rPr>
              <w:t>US GAAP/SEC cadence, standing AP/AR bookkeeping, US work context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b w:val="0"/>
          <w:i w:val="0"/>
          <w:color w:val="999999"/>
          <w:sz w:val="18"/>
        </w:rPr>
        <w:t>— End of dossier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