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INTERVIEW PREP (STAR)</w:t>
      </w:r>
    </w:p>
    <w:p>
      <w:pPr>
        <w:spacing w:after="80"/>
      </w:pPr>
      <w:r>
        <w:rPr>
          <w:b w:val="0"/>
          <w:i/>
          <w:sz w:val="20"/>
        </w:rPr>
        <w:t>Serial CV-20260915-0068 � Director of Finance (United States)</w:t>
      </w:r>
    </w:p>
    <w:p>
      <w:pPr>
        <w:spacing w:after="80"/>
      </w:pPr>
      <w:r>
        <w:rPr>
          <w:b w:val="0"/>
          <w:i/>
          <w:sz w:val="20"/>
        </w:rPr>
        <w:t>Structure every answer: Situation � Task � Action � Result. Keep results quantified only where the real CV supports them.</w:t>
      </w:r>
    </w:p>
    <w:p>
      <w:pPr>
        <w:spacing w:after="80"/>
      </w:pPr>
      <w:r>
        <w:rPr>
          <w:b/>
          <w:i w:val="0"/>
          <w:sz w:val="22"/>
        </w:rPr>
        <w:t>BEHAVIORAL QUESTION</w:t>
      </w:r>
    </w:p>
    <w:p>
      <w:pPr>
        <w:spacing w:after="80"/>
      </w:pPr>
      <w:r>
        <w:rPr>
          <w:b/>
          <w:i w:val="0"/>
          <w:sz w:val="20"/>
        </w:rPr>
        <w:t>Tell me about a time you improved governance, internal control or data quality in financial reporting.</w:t>
      </w:r>
    </w:p>
    <w:p>
      <w:pPr>
        <w:spacing w:after="80"/>
      </w:pPr>
      <w:r>
        <w:rPr>
          <w:b w:val="0"/>
          <w:i/>
          <w:sz w:val="18"/>
        </w:rPr>
        <w:t>Context / source experience: Rexel / KPMG Audit / ICM � IFRS consolidation &amp; compliance, 2009�2016</w:t>
      </w:r>
    </w:p>
    <w:p>
      <w:pPr>
        <w:spacing w:after="80"/>
      </w:pPr>
      <w:r>
        <w:rPr>
          <w:b/>
          <w:i w:val="0"/>
          <w:sz w:val="20"/>
        </w:rPr>
        <w:t>SITUATION:</w:t>
      </w:r>
    </w:p>
    <w:p>
      <w:pPr>
        <w:spacing w:after="80"/>
      </w:pPr>
      <w:r>
        <w:rPr>
          <w:b w:val="0"/>
          <w:i w:val="0"/>
          <w:sz w:val="20"/>
        </w:rPr>
        <w:t>Cross-border reporting introduced control and data-quality risk.</w:t>
      </w:r>
    </w:p>
    <w:p>
      <w:pPr>
        <w:spacing w:after="80"/>
      </w:pPr>
      <w:r>
        <w:rPr>
          <w:b/>
          <w:i w:val="0"/>
          <w:sz w:val="20"/>
        </w:rPr>
        <w:t>TASK:</w:t>
      </w:r>
    </w:p>
    <w:p>
      <w:pPr>
        <w:spacing w:after="80"/>
      </w:pPr>
      <w:r>
        <w:rPr>
          <w:b w:val="0"/>
          <w:i w:val="0"/>
          <w:sz w:val="20"/>
        </w:rPr>
        <w:t>Strengthen governance, internal control and data quality across consolidation.</w:t>
      </w:r>
    </w:p>
    <w:p>
      <w:pPr>
        <w:spacing w:after="80"/>
      </w:pPr>
      <w:r>
        <w:rPr>
          <w:b/>
          <w:i w:val="0"/>
          <w:sz w:val="20"/>
        </w:rPr>
        <w:t>ACTION:</w:t>
      </w:r>
    </w:p>
    <w:p>
      <w:pPr>
        <w:spacing w:after="80"/>
      </w:pPr>
      <w:r>
        <w:rPr>
          <w:b w:val="0"/>
          <w:i w:val="0"/>
          <w:sz w:val="20"/>
        </w:rPr>
        <w:t>I led IFRS financial reporting for APAC/LatAm/Canada subsidiaries, integrated SAP BPC and Cognos, audited statements under SOX, and established internal control for purchasing/donation at ICM.</w:t>
      </w:r>
    </w:p>
    <w:p>
      <w:pPr>
        <w:spacing w:after="80"/>
      </w:pPr>
      <w:r>
        <w:rPr>
          <w:b/>
          <w:i w:val="0"/>
          <w:sz w:val="20"/>
        </w:rPr>
        <w:t>RESULT:</w:t>
      </w:r>
    </w:p>
    <w:p>
      <w:pPr>
        <w:spacing w:after="80"/>
      </w:pPr>
      <w:r>
        <w:rPr>
          <w:b w:val="0"/>
          <w:i w:val="0"/>
          <w:sz w:val="20"/>
        </w:rPr>
        <w:t>Consolidation reporting strengthened; SOX process testing and audit-certification experience raised governance and data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