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b/>
          <w:i w:val="0"/>
          <w:color w:val="555555"/>
          <w:sz w:val="20"/>
        </w:rPr>
        <w:t>Serial CV-20260916-0072</w:t>
      </w:r>
    </w:p>
    <w:p>
      <w:r>
        <w:rPr>
          <w:b w:val="0"/>
          <w:i w:val="0"/>
          <w:color w:val="AAAAA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80" w:before="40"/>
      </w:pPr>
      <w:r>
        <w:rPr>
          <w:b/>
          <w:i w:val="0"/>
          <w:color w:val="333333"/>
          <w:sz w:val="26"/>
        </w:rPr>
        <w:t>Interview Prep — Serial CV-20260916-0072 (STAR)</w:t>
      </w:r>
    </w:p>
    <w:p>
      <w:pPr>
        <w:spacing w:after="80" w:before="0"/>
      </w:pPr>
      <w:r>
        <w:rPr>
          <w:b w:val="0"/>
          <w:i/>
          <w:color w:val="777777"/>
          <w:sz w:val="18"/>
        </w:rPr>
        <w:t>Role: Director of Finance (US) — JD: Indeed 'Director of Finance' aggregation.</w:t>
      </w:r>
    </w:p>
    <w:p>
      <w:r>
        <w:rPr>
          <w:b w:val="0"/>
          <w:i w:val="0"/>
          <w:color w:val="AAAAA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20" w:before="0"/>
      </w:pPr>
      <w:r>
        <w:rPr>
          <w:b/>
          <w:i w:val="0"/>
          <w:color w:val="333333"/>
          <w:sz w:val="24"/>
        </w:rPr>
        <w:t>Tell me about a time Cash flow / treasury</w:t>
      </w:r>
    </w:p>
    <w:p>
      <w:pPr>
        <w:spacing w:after="40" w:before="0"/>
      </w:pPr>
      <w:r>
        <w:rPr>
          <w:b/>
          <w:i w:val="0"/>
          <w:color w:val="333333"/>
          <w:sz w:val="22"/>
        </w:rPr>
        <w:t>SITUATION:</w:t>
      </w:r>
    </w:p>
    <w:p>
      <w:pPr>
        <w:spacing w:after="80" w:before="0"/>
      </w:pPr>
      <w:r>
        <w:rPr>
          <w:b w:val="0"/>
          <w:i/>
          <w:color w:val="555555"/>
          <w:sz w:val="20"/>
        </w:rPr>
        <w:t>Engie Tractebel — treasury and financing decision-support.</w:t>
      </w:r>
    </w:p>
    <w:p>
      <w:pPr>
        <w:spacing w:after="40" w:before="0"/>
      </w:pPr>
      <w:r>
        <w:rPr>
          <w:b/>
          <w:i w:val="0"/>
          <w:color w:val="333333"/>
          <w:sz w:val="22"/>
        </w:rPr>
        <w:t>TASK:</w:t>
      </w:r>
    </w:p>
    <w:p>
      <w:pPr>
        <w:spacing w:after="80" w:before="0"/>
      </w:pPr>
      <w:r>
        <w:rPr>
          <w:b w:val="0"/>
          <w:i/>
          <w:color w:val="555555"/>
          <w:sz w:val="20"/>
        </w:rPr>
        <w:t>Designed per-project cash exposure and cash-flow reporting, assessed financing needs, and performed counterpart credit analysis and impairment testing.</w:t>
      </w:r>
    </w:p>
    <w:p>
      <w:pPr>
        <w:spacing w:after="80" w:before="0"/>
      </w:pPr>
      <w:r>
        <w:rPr>
          <w:b/>
          <w:i w:val="0"/>
          <w:color w:val="333333"/>
          <w:sz w:val="22"/>
        </w:rPr>
        <w:t>RESULT:</w:t>
      </w:r>
    </w:p>
    <w:p>
      <w:pPr>
        <w:spacing w:after="160" w:before="0"/>
      </w:pPr>
      <w:r>
        <w:rPr>
          <w:b w:val="0"/>
          <w:i w:val="0"/>
          <w:color w:val="555555"/>
          <w:sz w:val="20"/>
        </w:rPr>
        <w:t>Treasury and financing decisions gained a data-backed basis; cash exposure and financing needs became visible to leadership.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ource Sans 3" w:hAnsi="Source Sans 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