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0"/>
        </w:rPr>
        <w:t>INTERVIEW PREP 6/6 — Serial CV-20260916-0073</w:t>
      </w:r>
    </w:p>
    <w:p>
      <w:r>
        <w:t>Director of Finance (United States)</w:t>
      </w:r>
      <w:r>
        <w:rPr>
          <w:i/>
          <w:color w:val="595959"/>
          <w:sz w:val="20"/>
        </w:rPr>
      </w:r>
    </w:p>
    <w:p>
      <w:pPr>
        <w:spacing w:after="120"/>
      </w:pPr>
      <w:r>
        <w:t>INTERVIEW PREP 6/6 — Serial CV-20260916-0073 (STAR)</w:t>
      </w:r>
    </w:p>
    <w:p>
      <w:pPr>
        <w:spacing w:after="120"/>
      </w:pPr>
      <w:r>
        <w:t>Q6. Describe a time you governed controls or led a team through change.</w:t>
      </w:r>
    </w:p>
    <w:p>
      <w:pPr>
        <w:spacing w:after="120"/>
      </w:pPr>
      <w:r>
        <w:t>SITUATION: KPMG Audit — financial-statement audits under multiple standards and SOX process testing.</w:t>
      </w:r>
    </w:p>
    <w:p>
      <w:pPr>
        <w:spacing w:after="120"/>
      </w:pPr>
      <w:r>
        <w:t>TASK: Ensure rigorous controls and consistent team delivery.</w:t>
      </w:r>
    </w:p>
    <w:p>
      <w:pPr>
        <w:spacing w:after="120"/>
      </w:pPr>
      <w:r>
        <w:t>ACTION: Led supervised audit teams; certified FP7 grant agreements for the EU Research program; built stakeholder partnerships.</w:t>
      </w:r>
    </w:p>
    <w:p>
      <w:pPr>
        <w:spacing w:after="120"/>
      </w:pPr>
      <w:r>
        <w:t>RESULT: Reliable, controls-aware audit outcomes and new market relationships supporting business growth.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