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1/6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1/6 — Serial CV-20260916-0075 (STAR)</w:t>
      </w:r>
    </w:p>
    <w:p>
      <w:pPr>
        <w:spacing w:after="120"/>
      </w:pPr>
      <w:r>
        <w:t>Q1. Tell me about a time you led finance-process integration during an ERP change.</w:t>
      </w:r>
    </w:p>
    <w:p>
      <w:pPr>
        <w:spacing w:after="120"/>
      </w:pPr>
      <w:r>
        <w:t>SITUATION: Engie SEM — SAP S/4HANA migration across French subsidiaries.</w:t>
      </w:r>
    </w:p>
    <w:p>
      <w:pPr>
        <w:spacing w:after="120"/>
      </w:pPr>
      <w:r>
        <w:t>TASK: Ensure finance sub-processes were modelled and reconciled into the new ERP.</w:t>
      </w:r>
    </w:p>
    <w:p>
      <w:pPr>
        <w:spacing w:after="120"/>
      </w:pPr>
      <w:r>
        <w:t>ACTION: Acted as core Business Analyst bridging IT architecture and business; drove AS-IS → TO-BE process design; ran finance workshops; reconciled IVDB to S/4HANA and simplified WDS project coding.</w:t>
      </w:r>
    </w:p>
    <w:p>
      <w:pPr>
        <w:spacing w:after="120"/>
      </w:pPr>
      <w:r>
        <w:t>RESULT: Clean finance transition with a reconciled, monitorable structure — directly reusable for a new ERP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