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2/6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2/6 — Serial CV-20260916-0076 (STAR)</w:t>
      </w:r>
    </w:p>
    <w:p>
      <w:pPr>
        <w:spacing w:after="120"/>
      </w:pPr>
      <w:r>
        <w:t>Q2. Describe a time you improved a financial close that was slow or error-prone.</w:t>
      </w:r>
    </w:p>
    <w:p>
      <w:pPr>
        <w:spacing w:after="120"/>
      </w:pPr>
      <w:r>
        <w:t>SITUATION: Engie SEM — commodity-trading finance close relied on manual, risky steps.</w:t>
      </w:r>
    </w:p>
    <w:p>
      <w:pPr>
        <w:spacing w:after="120"/>
      </w:pPr>
      <w:r>
        <w:t>TASK: Make the close reliable, repeatable and manual-intervention-free.</w:t>
      </w:r>
    </w:p>
    <w:p>
      <w:pPr>
        <w:spacing w:after="120"/>
      </w:pPr>
      <w:r>
        <w:t>ACTION: Designed and deployed PowerQuery ETL workflows to ingest and validate data before close.</w:t>
      </w:r>
    </w:p>
    <w:p>
      <w:pPr>
        <w:spacing w:after="120"/>
      </w:pPr>
      <w:r>
        <w:t>RESULT: Ingested 1,500+ bookings per close with zero manual intervention, removing prior human-error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