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CV-20260914-0019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Month-end close automation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automate commodity-trading month-end close.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Deployed PowerQuery ETL workflows to ingest 1,500+ bookings per close; removed manual hand-offs and standardised the close checklist across entities.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20" w:before="0"/>
      </w:pPr>
      <w:r>
        <w:rPr>
          <w:b w:val="0"/>
          <w:i w:val="0"/>
          <w:color w:val="555555"/>
          <w:sz w:val="20"/>
        </w:rPr>
        <w:t>A reliable, repeatable close with zero manual intervention — freeing time for analysis and reducing error risk at the monthly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