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555555"/>
          <w:sz w:val="20"/>
        </w:rPr>
        <w:t>Serial CV-20260914-0019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 w:before="40"/>
      </w:pPr>
      <w:r>
        <w:rPr>
          <w:b/>
          <w:i w:val="0"/>
          <w:color w:val="333333"/>
          <w:sz w:val="26"/>
        </w:rPr>
        <w:t>Interview Prep — Serial CV-20260914-0019 (STAR)</w:t>
      </w:r>
    </w:p>
    <w:p>
      <w:pPr>
        <w:spacing w:after="80" w:before="0"/>
      </w:pPr>
      <w:r>
        <w:rPr>
          <w:b w:val="0"/>
          <w:i/>
          <w:color w:val="777777"/>
          <w:sz w:val="18"/>
        </w:rPr>
        <w:t>Role: Director of Finance (US) — JD: Indeed 'Director of Finance' aggregation.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b/>
          <w:i w:val="0"/>
          <w:color w:val="333333"/>
          <w:sz w:val="24"/>
        </w:rPr>
        <w:t>Tell me about a time Cross-functional partnering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SITUATION: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Engie SEM — bridge IT architecture and business operations on a SAP S/4HANA pilot.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TASK: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Broke down the silence between IT, trading and finance: ran finance process workshops, aligned stakeholder expectations, and reconciled cross-team data.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RESULT:</w:t>
      </w:r>
    </w:p>
    <w:p>
      <w:pPr>
        <w:spacing w:after="120" w:before="0"/>
      </w:pPr>
      <w:r>
        <w:rPr>
          <w:b w:val="0"/>
          <w:i w:val="0"/>
          <w:color w:val="555555"/>
          <w:sz w:val="20"/>
        </w:rPr>
        <w:t>Finance signed off on a shared data model; fewer rework loops and faster decision cycles with the business and IT alike.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