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CV-20260914-0019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Budgeting from scratch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replace an unreliable legacy budgeting framework.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Built a budgeting &amp; forecasting model from scratch inside a 2-week window, interviewing stakeholders, then phased it in while protecting operational continuity.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20" w:before="0"/>
      </w:pPr>
      <w:r>
        <w:rPr>
          <w:b w:val="0"/>
          <w:i w:val="0"/>
          <w:color w:val="555555"/>
          <w:sz w:val="20"/>
        </w:rPr>
        <w:t>A dependable planning baseline restored in days rather than months; leadership gained a forecasting tool they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