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CV-20260914-0019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CV-20260914-0019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Cash flow / treasury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Tractebel — treasury and financing decision-support.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Designed per-project cash exposure and cash-flow reporting, assessed financing needs, and performed counterpart credit analysis and impairment testing.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20" w:before="0"/>
      </w:pPr>
      <w:r>
        <w:rPr>
          <w:b w:val="0"/>
          <w:i w:val="0"/>
          <w:color w:val="555555"/>
          <w:sz w:val="20"/>
        </w:rPr>
        <w:t>Treasury and financing decisions gained a data-backed basis; cash exposure and financing needs became visible to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