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built a budgeting or forecasting model from scratch under a tight deadline.</w:t>
      </w:r>
    </w:p>
    <w:p>
      <w:pPr>
        <w:spacing w:after="80"/>
      </w:pPr>
      <w:r>
        <w:rPr>
          <w:b w:val="0"/>
          <w:i/>
          <w:sz w:val="18"/>
        </w:rPr>
        <w:t>Context / source experience: Engie SEM � financial modelling, 2026�Present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The organisation faced a resource gap and relied on an unreliable legacy budgeting framework.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Deliver a trustworthy budgeting &amp; forecasting model quickly to protect operational continuity.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I designed and built a budgeting model from scratch within a 2-week window, replacing the legacy framework and aligning it with actual business operations.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Operational continuity protected during the resource gap; a reliable, audit-friendly budgeting baseline established in an unrealistic 2-week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