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INTERVIEW PREP (STAR)</w:t>
      </w:r>
    </w:p>
    <w:p>
      <w:pPr>
        <w:spacing w:after="80"/>
      </w:pPr>
      <w:r>
        <w:rPr>
          <w:b w:val="0"/>
          <w:i/>
          <w:sz w:val="20"/>
        </w:rPr>
        <w:t>Serial CV-20260915-0068 � Director of Finance (United States)</w:t>
      </w:r>
    </w:p>
    <w:p>
      <w:pPr>
        <w:spacing w:after="80"/>
      </w:pPr>
      <w:r>
        <w:rPr>
          <w:b w:val="0"/>
          <w:i/>
          <w:sz w:val="20"/>
        </w:rPr>
        <w:t>Structure every answer: Situation � Task � Action � Result. Keep results quantified only where the real CV supports them.</w:t>
      </w:r>
    </w:p>
    <w:p>
      <w:pPr>
        <w:spacing w:after="80"/>
      </w:pPr>
      <w:r>
        <w:rPr>
          <w:b/>
          <w:i w:val="0"/>
          <w:sz w:val="22"/>
        </w:rPr>
        <w:t>BEHAVIORAL QUESTION</w:t>
      </w:r>
    </w:p>
    <w:p>
      <w:pPr>
        <w:spacing w:after="80"/>
      </w:pPr>
      <w:r>
        <w:rPr>
          <w:b/>
          <w:i w:val="0"/>
          <w:sz w:val="20"/>
        </w:rPr>
        <w:t>Tell me about a time you managed an ERP / SAP migration or replacement from diagnosis to go-live.</w:t>
      </w:r>
    </w:p>
    <w:p>
      <w:pPr>
        <w:spacing w:after="80"/>
      </w:pPr>
      <w:r>
        <w:rPr>
          <w:b w:val="0"/>
          <w:i/>
          <w:sz w:val="18"/>
        </w:rPr>
        <w:t>Context / source experience: Holcim / Engie SEM � SAP HANA / S/4HANA, 2024�Present</w:t>
      </w:r>
    </w:p>
    <w:p>
      <w:pPr>
        <w:spacing w:after="80"/>
      </w:pPr>
      <w:r>
        <w:rPr>
          <w:b/>
          <w:i w:val="0"/>
          <w:sz w:val="20"/>
        </w:rPr>
        <w:t>SITUATION:</w:t>
      </w:r>
    </w:p>
    <w:p>
      <w:pPr>
        <w:spacing w:after="80"/>
      </w:pPr>
      <w:r>
        <w:rPr>
          <w:b w:val="0"/>
          <w:i w:val="0"/>
          <w:sz w:val="20"/>
        </w:rPr>
        <w:t>Legacy systems carried data-integrity and reporting gaps across multi-entity operations.</w:t>
      </w:r>
    </w:p>
    <w:p>
      <w:pPr>
        <w:spacing w:after="80"/>
      </w:pPr>
      <w:r>
        <w:rPr>
          <w:b/>
          <w:i w:val="0"/>
          <w:sz w:val="20"/>
        </w:rPr>
        <w:t>TASK:</w:t>
      </w:r>
    </w:p>
    <w:p>
      <w:pPr>
        <w:spacing w:after="80"/>
      </w:pPr>
      <w:r>
        <w:rPr>
          <w:b w:val="0"/>
          <w:i w:val="0"/>
          <w:sz w:val="20"/>
        </w:rPr>
        <w:t>Lead the ERP migration while guaranteeing data integrity and clean consolidation reporting.</w:t>
      </w:r>
    </w:p>
    <w:p>
      <w:pPr>
        <w:spacing w:after="80"/>
      </w:pPr>
      <w:r>
        <w:rPr>
          <w:b/>
          <w:i w:val="0"/>
          <w:sz w:val="20"/>
        </w:rPr>
        <w:t>ACTION:</w:t>
      </w:r>
    </w:p>
    <w:p>
      <w:pPr>
        <w:spacing w:after="80"/>
      </w:pPr>
      <w:r>
        <w:rPr>
          <w:b w:val="0"/>
          <w:i w:val="0"/>
          <w:sz w:val="20"/>
        </w:rPr>
        <w:t>I managed the SAP HANA migration, restructured source data, and served as the core Business Analyst bridging IT architecture and business operations for the S/4HANA pilot.</w:t>
      </w:r>
    </w:p>
    <w:p>
      <w:pPr>
        <w:spacing w:after="80"/>
      </w:pPr>
      <w:r>
        <w:rPr>
          <w:b/>
          <w:i w:val="0"/>
          <w:sz w:val="20"/>
        </w:rPr>
        <w:t>RESULT:</w:t>
      </w:r>
    </w:p>
    <w:p>
      <w:pPr>
        <w:spacing w:after="80"/>
      </w:pPr>
      <w:r>
        <w:rPr>
          <w:b w:val="0"/>
          <w:i w:val="0"/>
          <w:sz w:val="20"/>
        </w:rPr>
        <w:t>System integrity preserved across consolidation reporting; IT-to-business alignment enabled a smoother go-live.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