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plant &amp; operations partnering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plant and multi-site finance across 50+ locations in multiple countries (Vinci Airports); operated under P&amp;L and treasury oversight as interim CFO at Magnetrap, arranging €3M debt/equity financing.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