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 w:before="0"/>
      </w:pPr>
      <w:r>
        <w:rPr>
          <w:b/>
          <w:i w:val="0"/>
          <w:color w:val="555555"/>
          <w:sz w:val="20"/>
        </w:rPr>
        <w:t>Serial CV-20260916-0071</w:t>
      </w:r>
    </w:p>
    <w:p>
      <w:r>
        <w:rPr>
          <w:b w:val="0"/>
          <w:i w:val="0"/>
          <w:color w:val="AAAAAA"/>
          <w:sz w:val="16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spacing w:after="80" w:before="40"/>
      </w:pPr>
      <w:r>
        <w:rPr>
          <w:b/>
          <w:i w:val="0"/>
          <w:color w:val="333333"/>
          <w:sz w:val="26"/>
        </w:rPr>
        <w:t>Interview Prep — Serial CV-20260916-0071 (STAR)</w:t>
      </w:r>
    </w:p>
    <w:p>
      <w:pPr>
        <w:spacing w:after="80" w:before="0"/>
      </w:pPr>
      <w:r>
        <w:rPr>
          <w:b w:val="0"/>
          <w:i/>
          <w:color w:val="777777"/>
          <w:sz w:val="18"/>
        </w:rPr>
        <w:t>Role: Director of Finance (US) — JD: Indeed 'Director of Finance' aggregation.</w:t>
      </w:r>
    </w:p>
    <w:p>
      <w:r>
        <w:rPr>
          <w:b w:val="0"/>
          <w:i w:val="0"/>
          <w:color w:val="AAAAAA"/>
          <w:sz w:val="16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spacing w:after="120" w:before="0"/>
      </w:pPr>
      <w:r>
        <w:rPr>
          <w:b/>
          <w:i w:val="0"/>
          <w:color w:val="333333"/>
          <w:sz w:val="24"/>
        </w:rPr>
        <w:t>Tell me about a time ERP integration</w:t>
      </w:r>
    </w:p>
    <w:p>
      <w:pPr>
        <w:spacing w:after="40" w:before="0"/>
      </w:pPr>
      <w:r>
        <w:rPr>
          <w:b/>
          <w:i w:val="0"/>
          <w:color w:val="333333"/>
          <w:sz w:val="22"/>
        </w:rPr>
        <w:t>SITUATION:</w:t>
      </w:r>
    </w:p>
    <w:p>
      <w:pPr>
        <w:spacing w:after="80" w:before="0"/>
      </w:pPr>
      <w:r>
        <w:rPr>
          <w:b w:val="0"/>
          <w:i/>
          <w:color w:val="555555"/>
          <w:sz w:val="20"/>
        </w:rPr>
        <w:t>Engie SEM — SAP S/4HANA migration pilot across French subsidiaries.</w:t>
      </w:r>
    </w:p>
    <w:p>
      <w:pPr>
        <w:spacing w:after="40" w:before="0"/>
      </w:pPr>
      <w:r>
        <w:rPr>
          <w:b/>
          <w:i w:val="0"/>
          <w:color w:val="333333"/>
          <w:sz w:val="22"/>
        </w:rPr>
        <w:t>TASK:</w:t>
      </w:r>
    </w:p>
    <w:p>
      <w:pPr>
        <w:spacing w:after="80" w:before="0"/>
      </w:pPr>
      <w:r>
        <w:rPr>
          <w:b w:val="0"/>
          <w:i/>
          <w:color w:val="555555"/>
          <w:sz w:val="20"/>
        </w:rPr>
        <w:t>Acted as the core Business Analyst bridging IT architecture and business operations; drove AS-IS to TO-BE process design; ran finance workshops; reconciled the middle-office (IVDB) data with S/4HANA and simplified WDS project coding.</w:t>
      </w:r>
    </w:p>
    <w:p>
      <w:pPr>
        <w:spacing w:after="80" w:before="0"/>
      </w:pPr>
      <w:r>
        <w:rPr>
          <w:b/>
          <w:i w:val="0"/>
          <w:color w:val="333333"/>
          <w:sz w:val="22"/>
        </w:rPr>
        <w:t>RESULT:</w:t>
      </w:r>
    </w:p>
    <w:p>
      <w:pPr>
        <w:spacing w:after="160" w:before="0"/>
      </w:pPr>
      <w:r>
        <w:rPr>
          <w:b w:val="0"/>
          <w:i w:val="0"/>
          <w:color w:val="555555"/>
          <w:sz w:val="20"/>
        </w:rPr>
        <w:t>A clean finance transition with a reconciled, monitorable project structure — directly reusable for any ERP replacement rollout.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Source Sans 3" w:hAnsi="Source Sans 3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