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CV-20260916-0071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Cross-functional partnering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bridge IT architecture and business operations on a SAP S/4HANA pilot.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Broke down the silence between IT, trading and finance: ran finance process workshops, aligned stakeholder expectations, and reconciled cross-team data.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Finance signed off on a shared data model; fewer rework loops and faster decision cycles with the business and IT alike.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