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CV-20260916-0071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CV-20260916-0071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Budgeting from scratch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replace an unreliable legacy budgeting framework.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Built a budgeting &amp; forecasting model from scratch inside a 2-week window, interviewing stakeholders, then phased it in while protecting operational continuity.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A dependable planning baseline restored in days rather than months; leadership gained a forecasting tool they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