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CV-20260916-0072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Cross-functional partnering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bridge IT architecture and business operations on a SAP S/4HANA pilot.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Broke down the silence between IT, trading and finance: ran finance process workshops, aligned stakeholder expectations, and reconciled cross-team data.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Finance signed off on a shared data model; fewer rework loops and faster decision cycles with the business and IT alike.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