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4/6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4/6 — Serial CV-20260916-0073 (STAR)</w:t>
      </w:r>
    </w:p>
    <w:p>
      <w:pPr>
        <w:spacing w:after="120"/>
      </w:pPr>
      <w:r>
        <w:t>Q4. Describe your approach to multi-entity financial reporting and consolidation.</w:t>
      </w:r>
    </w:p>
    <w:p>
      <w:pPr>
        <w:spacing w:after="120"/>
      </w:pPr>
      <w:r>
        <w:t>SITUATION: Rexel required board-ready IFRS reporting across Asia-Pacific, Latin America and Canada.</w:t>
      </w:r>
    </w:p>
    <w:p>
      <w:pPr>
        <w:spacing w:after="120"/>
      </w:pPr>
      <w:r>
        <w:t>TASK: Consolidate multi-entity results into a reliable monthly/quarterly cadence.</w:t>
      </w:r>
    </w:p>
    <w:p>
      <w:pPr>
        <w:spacing w:after="120"/>
      </w:pPr>
      <w:r>
        <w:t>ACTION: Integrated SAP BPC and Cognos reporting, aligned month-end reporting with executive needs, and led the strategic planning process.</w:t>
      </w:r>
    </w:p>
    <w:p>
      <w:pPr>
        <w:spacing w:after="120"/>
      </w:pPr>
      <w:r>
        <w:t>RESULT: Consistent, board-ready consolidated reporting that supported cross-regional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