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COVER LETTER 1/5 — Serial CV-20260916-0075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COVER LETTER 1/5 — Serial CV-20260916-0075</w:t>
      </w:r>
    </w:p>
    <w:p>
      <w:pPr>
        <w:spacing w:after="120"/>
      </w:pPr>
      <w:r>
        <w:t>============================================================</w:t>
      </w:r>
    </w:p>
    <w:p/>
    <w:p>
      <w:pPr>
        <w:spacing w:after="120"/>
      </w:pPr>
      <w:r>
        <w:t>Dear Hiring Team,</w:t>
      </w:r>
    </w:p>
    <w:p/>
    <w:p>
      <w:pPr>
        <w:spacing w:after="120"/>
      </w:pPr>
      <w:r>
        <w:t>I am applying for the Director of Finance role. My career is built around the three requirements this position demands: reliable monthly and quarterly financial reporting, disciplined budgeting &amp; forecasting, and P&amp;L-adjacent, multi-entity decision support across BE, FR and NL.</w:t>
      </w:r>
    </w:p>
    <w:p/>
    <w:p>
      <w:pPr>
        <w:spacing w:after="120"/>
      </w:pPr>
      <w:r>
        <w:t>As Business Analyst on the SAP S/4HANA migration (Engie SEM), I own month-end financial reporting while bridging IT architecture and business operations. I automated the commodity-trading close with PowerQuery ETL workflows, ingesting 1,500+ bookings per close with zero manual intervention, and I rebuilt a trustworthy budgeting &amp; forecasting baseline from scratch inside a two-week window. Earlier at Rexel, I delivered IFRS financial reporting for Asia-Pacific, Latin America and Canadian subsidiaries and integrated SAP BPC and Cognos reporting to consolidate multi-entity results.</w:t>
      </w:r>
    </w:p>
    <w:p/>
    <w:p>
      <w:pPr>
        <w:spacing w:after="120"/>
      </w:pPr>
      <w:r>
        <w:t>I recognise two minor gaps: explicit day-to-day AP/AR bookkeeping as a dedicated standing role, and US GAAP / US work-context experience. I address the first through my ESCP auditing qualification and fast-learning profile, and the second through my solid IFRS / BE-GAAP consolidation foundation, which transfers cleanly with a short onboarding ramp. I am comfortable delivering remotely or on-site, respect deadlines, and communicate clearly from senior management to end users.</w:t>
      </w:r>
    </w:p>
    <w:p/>
    <w:p>
      <w:pPr>
        <w:spacing w:after="120"/>
      </w:pPr>
      <w:r>
        <w:t>I would welcome a conversation to discuss how I can contribute as your Director of Finance.</w:t>
      </w:r>
    </w:p>
    <w:p>
      <w:pPr>
        <w:spacing w:after="120"/>
      </w:pPr>
      <w:r>
        <w:t>Best regards,</w:t>
      </w:r>
    </w:p>
    <w:p>
      <w:pPr>
        <w:spacing w:after="120"/>
      </w:pPr>
      <w: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