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5/6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5/6 — Serial CV-20260916-0075 (STAR)</w:t>
      </w:r>
    </w:p>
    <w:p>
      <w:pPr>
        <w:spacing w:after="120"/>
      </w:pPr>
      <w:r>
        <w:t>Q5. Tell me about managing P&amp;L / treasury oversight under pressure.</w:t>
      </w:r>
    </w:p>
    <w:p>
      <w:pPr>
        <w:spacing w:after="120"/>
      </w:pPr>
      <w:r>
        <w:t>SITUATION: Magnetrap needed growth capital and disciplined cash oversight as interim CFO.</w:t>
      </w:r>
    </w:p>
    <w:p>
      <w:pPr>
        <w:spacing w:after="120"/>
      </w:pPr>
      <w:r>
        <w:t>TASK: Arrange financing and monitor performance against plans.</w:t>
      </w:r>
    </w:p>
    <w:p>
      <w:pPr>
        <w:spacing w:after="120"/>
      </w:pPr>
      <w:r>
        <w:t>ACTION: Arranged €3M in debt/equity financing; built cash-flow projections, business plans and long-term models; applied corrective actions when performance diverged.</w:t>
      </w:r>
    </w:p>
    <w:p>
      <w:pPr>
        <w:spacing w:after="120"/>
      </w:pPr>
      <w:r>
        <w:t>RESULT: Funded growth while keeping performance on plan through proactive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