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COVER LETTER 2/5 — Serial CV-20260916-0076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COVER LETTER 2/5 — Serial CV-20260916-0076</w:t>
      </w:r>
    </w:p>
    <w:p>
      <w:pPr>
        <w:spacing w:after="120"/>
      </w:pPr>
      <w:r>
        <w:t>============================================================</w:t>
      </w:r>
    </w:p>
    <w:p/>
    <w:p>
      <w:pPr>
        <w:spacing w:after="120"/>
      </w:pPr>
      <w:r>
        <w:t>Dear Leadership Team,</w:t>
      </w:r>
    </w:p>
    <w:p/>
    <w:p>
      <w:pPr>
        <w:spacing w:after="120"/>
      </w:pPr>
      <w:r>
        <w:t>I am applying for the Director of Finance position. Across 15+ years I have owned the full planning and reporting cycle — annual budgeting, rolling forecasts, variance analysis and board-ready multi-entity reporting — always with the P&amp;L at the centre of every decision.</w:t>
      </w:r>
    </w:p>
    <w:p/>
    <w:p>
      <w:pPr>
        <w:spacing w:after="120"/>
      </w:pPr>
      <w:r>
        <w:t>At Vinci Airports I developed long-term financial business models and negotiated concession extensions that improved budgeting and forecasting, delivering valuation at four times acquisition cost across 50+ locations. At Magnetrap I operated under P&amp;L and treasury oversight as interim CFO, arranging €3M in debt/equity financing and building cash-flow projections and business plans. These experiences gave me a disciplined, number-driven approach to protecting and growing the P&amp;L.</w:t>
      </w:r>
    </w:p>
    <w:p/>
    <w:p>
      <w:pPr>
        <w:spacing w:after="120"/>
      </w:pPr>
      <w:r>
        <w:t>I am candid about two small gaps: US GAAP / US regulatory context, and a dedicated standing AP/AR bookkeeping function. I meet the first with a structured onboarding ramp that leverages my IFRS consolidation foundation, and the second with my auditing qualification and automation-first mindset (PowerQuery ETL, Power BI). I learn fast, work well across functions, and partner confidently with finance, IT and the business.</w:t>
      </w:r>
    </w:p>
    <w:p/>
    <w:p>
      <w:pPr>
        <w:spacing w:after="120"/>
      </w:pPr>
      <w:r>
        <w:t>I would value the opportunity to discuss how my blend of strategic finance and operational rigour serves your organisation.</w:t>
      </w:r>
    </w:p>
    <w:p>
      <w:pPr>
        <w:spacing w:after="120"/>
      </w:pPr>
      <w:r>
        <w:t>Best regards,</w:t>
      </w:r>
    </w:p>
    <w:p>
      <w:pPr>
        <w:spacing w:after="120"/>
      </w:pPr>
      <w: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