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3/6 — Serial CV-20260916-0076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3/6 — Serial CV-20260916-0076 (STAR)</w:t>
      </w:r>
    </w:p>
    <w:p>
      <w:pPr>
        <w:spacing w:after="120"/>
      </w:pPr>
      <w:r>
        <w:t>Q3. Give an example of rebuilding or improving budgeting &amp; forecasting.</w:t>
      </w:r>
    </w:p>
    <w:p>
      <w:pPr>
        <w:spacing w:after="120"/>
      </w:pPr>
      <w:r>
        <w:t>SITUATION: A critical resource gap threatened operational continuity and the planning baseline.</w:t>
      </w:r>
    </w:p>
    <w:p>
      <w:pPr>
        <w:spacing w:after="120"/>
      </w:pPr>
      <w:r>
        <w:t>TASK: Deliver a trustworthy budgeting &amp; forecasting tool under an extreme two-week deadline.</w:t>
      </w:r>
    </w:p>
    <w:p>
      <w:pPr>
        <w:spacing w:after="120"/>
      </w:pPr>
      <w:r>
        <w:t>ACTION: Built the modeling tool from scratch, prioritising accuracy and usability over speed compromises.</w:t>
      </w:r>
    </w:p>
    <w:p>
      <w:pPr>
        <w:spacing w:after="120"/>
      </w:pPr>
      <w:r>
        <w:t>RESULT: Protected operational continuity and restored a credible planning baseline for leadership.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