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PFOS — Ekipman bandı tanımsız konseptler</w:t>
      </w:r>
    </w:p>
    <w:p>
      <w:r>
        <w:t xml:space="preserve">Oluşturma: 2026-06-16 · Equsto PFOS konsept matrisi · Ekipman bantları sütununda «—» olan kayıtlar.</w:t>
      </w:r>
    </w:p>
    <w:p/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600" w:type="dxa"/>
          </w:tcPr>
          <w:p>
            <w:r>
              <w:rPr>
                <w:b/>
              </w:rPr>
              <w:t xml:space="preserve">Üst grup</w:t>
            </w:r>
          </w:p>
        </w:tc>
        <w:tc>
          <w:tcPr>
            <w:tcW w:w="1600" w:type="dxa"/>
          </w:tcPr>
          <w:p>
            <w:r>
              <w:rPr>
                <w:b/>
              </w:rPr>
              <w:t xml:space="preserve">ID (legacy)</w:t>
            </w:r>
          </w:p>
        </w:tc>
        <w:tc>
          <w:tcPr>
            <w:tcW w:w="1600" w:type="dxa"/>
          </w:tcPr>
          <w:p>
            <w:r>
              <w:rPr>
                <w:b/>
              </w:rPr>
              <w:t xml:space="preserve">Görünen ad</w:t>
            </w:r>
          </w:p>
        </w:tc>
        <w:tc>
          <w:tcPr>
            <w:tcW w:w="1600" w:type="dxa"/>
          </w:tcPr>
          <w:p>
            <w:r>
              <w:rPr>
                <w:b/>
              </w:rPr>
              <w:t xml:space="preserve">Motor slug</w:t>
            </w:r>
          </w:p>
        </w:tc>
        <w:tc>
          <w:tcPr>
            <w:tcW w:w="1600" w:type="dxa"/>
          </w:tcPr>
          <w:p>
            <w:r>
              <w:rPr>
                <w:b/>
              </w:rPr>
              <w:t xml:space="preserve">m²</w:t>
            </w:r>
          </w:p>
        </w:tc>
        <w:tc>
          <w:tcPr>
            <w:tcW w:w="1600" w:type="dxa"/>
          </w:tcPr>
          <w:p>
            <w:r>
              <w:rPr>
                <w:b/>
              </w:rPr>
              <w:t xml:space="preserve">Ekipman bantları</w:t>
            </w:r>
          </w:p>
        </w:tc>
      </w:tr>
      <w:tr>
        <w:tc>
          <w:tcPr>
            <w:tcW w:w="1600" w:type="dxa"/>
          </w:tcPr>
          <w:p>
            <w:r>
              <w:t xml:space="preserve">Restoran</w:t>
            </w:r>
          </w:p>
        </w:tc>
        <w:tc>
          <w:tcPr>
            <w:tcW w:w="1600" w:type="dxa"/>
          </w:tcPr>
          <w:p>
            <w:r>
              <w:t xml:space="preserve">restaurant_sarkuteri</w:t>
            </w:r>
          </w:p>
        </w:tc>
        <w:tc>
          <w:tcPr>
            <w:tcW w:w="1600" w:type="dxa"/>
          </w:tcPr>
          <w:p>
            <w:r>
              <w:t xml:space="preserve">Gurme Şarküteri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40–200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Kafe / Coffee Shop</w:t>
            </w:r>
          </w:p>
        </w:tc>
        <w:tc>
          <w:tcPr>
            <w:tcW w:w="1600" w:type="dxa"/>
          </w:tcPr>
          <w:p>
            <w:r>
              <w:t xml:space="preserve">kafeterya</w:t>
            </w:r>
          </w:p>
        </w:tc>
        <w:tc>
          <w:tcPr>
            <w:tcW w:w="1600" w:type="dxa"/>
          </w:tcPr>
          <w:p>
            <w:r>
              <w:t xml:space="preserve">Kafeterya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80–350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Pastane &amp; Fırın</w:t>
            </w:r>
          </w:p>
        </w:tc>
        <w:tc>
          <w:tcPr>
            <w:tcW w:w="1600" w:type="dxa"/>
          </w:tcPr>
          <w:p>
            <w:r>
              <w:t xml:space="preserve">pastane_artisan</w:t>
            </w:r>
          </w:p>
        </w:tc>
        <w:tc>
          <w:tcPr>
            <w:tcW w:w="1600" w:type="dxa"/>
          </w:tcPr>
          <w:p>
            <w:r>
              <w:t xml:space="preserve">Artisan / butik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40–120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Pastane &amp; Fırın</w:t>
            </w:r>
          </w:p>
        </w:tc>
        <w:tc>
          <w:tcPr>
            <w:tcW w:w="1600" w:type="dxa"/>
          </w:tcPr>
          <w:p>
            <w:r>
              <w:t xml:space="preserve">pastane_endustriyel</w:t>
            </w:r>
          </w:p>
        </w:tc>
        <w:tc>
          <w:tcPr>
            <w:tcW w:w="1600" w:type="dxa"/>
          </w:tcPr>
          <w:p>
            <w:r>
              <w:t xml:space="preserve">Endüstriyel fırın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80–800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Fast Food / QSR</w:t>
            </w:r>
          </w:p>
        </w:tc>
        <w:tc>
          <w:tcPr>
            <w:tcW w:w="1600" w:type="dxa"/>
          </w:tcPr>
          <w:p>
            <w:r>
              <w:t xml:space="preserve">ff_burger</w:t>
            </w:r>
          </w:p>
        </w:tc>
        <w:tc>
          <w:tcPr>
            <w:tcW w:w="1600" w:type="dxa"/>
          </w:tcPr>
          <w:p>
            <w:r>
              <w:t xml:space="preserve">Burger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40–180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Fast Food / QSR</w:t>
            </w:r>
          </w:p>
        </w:tc>
        <w:tc>
          <w:tcPr>
            <w:tcW w:w="1600" w:type="dxa"/>
          </w:tcPr>
          <w:p>
            <w:r>
              <w:t xml:space="preserve">ff_pizza_paket</w:t>
            </w:r>
          </w:p>
        </w:tc>
        <w:tc>
          <w:tcPr>
            <w:tcW w:w="1600" w:type="dxa"/>
          </w:tcPr>
          <w:p>
            <w:r>
              <w:t xml:space="preserve">Pizza (paket)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35–150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Fast Food / QSR</w:t>
            </w:r>
          </w:p>
        </w:tc>
        <w:tc>
          <w:tcPr>
            <w:tcW w:w="1600" w:type="dxa"/>
          </w:tcPr>
          <w:p>
            <w:r>
              <w:t xml:space="preserve">ff_doner</w:t>
            </w:r>
          </w:p>
        </w:tc>
        <w:tc>
          <w:tcPr>
            <w:tcW w:w="1600" w:type="dxa"/>
          </w:tcPr>
          <w:p>
            <w:r>
              <w:t xml:space="preserve">Döner / Dürüm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30–120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Fast Food / QSR</w:t>
            </w:r>
          </w:p>
        </w:tc>
        <w:tc>
          <w:tcPr>
            <w:tcW w:w="1600" w:type="dxa"/>
          </w:tcPr>
          <w:p>
            <w:r>
              <w:t xml:space="preserve">ff_pide</w:t>
            </w:r>
          </w:p>
        </w:tc>
        <w:tc>
          <w:tcPr>
            <w:tcW w:w="1600" w:type="dxa"/>
          </w:tcPr>
          <w:p>
            <w:r>
              <w:t xml:space="preserve">Pide / Lahmacun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35–150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Bar &amp; Lounge</w:t>
            </w:r>
          </w:p>
        </w:tc>
        <w:tc>
          <w:tcPr>
            <w:tcW w:w="1600" w:type="dxa"/>
          </w:tcPr>
          <w:p>
            <w:r>
              <w:t xml:space="preserve">bar_wine</w:t>
            </w:r>
          </w:p>
        </w:tc>
        <w:tc>
          <w:tcPr>
            <w:tcW w:w="1600" w:type="dxa"/>
          </w:tcPr>
          <w:p>
            <w:r>
              <w:t xml:space="preserve">Wine Bar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50–200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Bar &amp; Lounge</w:t>
            </w:r>
          </w:p>
        </w:tc>
        <w:tc>
          <w:tcPr>
            <w:tcW w:w="1600" w:type="dxa"/>
          </w:tcPr>
          <w:p>
            <w:r>
              <w:t xml:space="preserve">bar_beer</w:t>
            </w:r>
          </w:p>
        </w:tc>
        <w:tc>
          <w:tcPr>
            <w:tcW w:w="1600" w:type="dxa"/>
          </w:tcPr>
          <w:p>
            <w:r>
              <w:t xml:space="preserve">Beer Pub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80–400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Bar &amp; Lounge</w:t>
            </w:r>
          </w:p>
        </w:tc>
        <w:tc>
          <w:tcPr>
            <w:tcW w:w="1600" w:type="dxa"/>
          </w:tcPr>
          <w:p>
            <w:r>
              <w:t xml:space="preserve">bar_irish</w:t>
            </w:r>
          </w:p>
        </w:tc>
        <w:tc>
          <w:tcPr>
            <w:tcW w:w="1600" w:type="dxa"/>
          </w:tcPr>
          <w:p>
            <w:r>
              <w:t xml:space="preserve">Irish Pub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100–450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Bar &amp; Lounge</w:t>
            </w:r>
          </w:p>
        </w:tc>
        <w:tc>
          <w:tcPr>
            <w:tcW w:w="1600" w:type="dxa"/>
          </w:tcPr>
          <w:p>
            <w:r>
              <w:t xml:space="preserve">bar_lounge</w:t>
            </w:r>
          </w:p>
        </w:tc>
        <w:tc>
          <w:tcPr>
            <w:tcW w:w="1600" w:type="dxa"/>
          </w:tcPr>
          <w:p>
            <w:r>
              <w:t xml:space="preserve">Lounger Bar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80–350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Otel F&amp;B</w:t>
            </w:r>
          </w:p>
        </w:tc>
        <w:tc>
          <w:tcPr>
            <w:tcW w:w="1600" w:type="dxa"/>
          </w:tcPr>
          <w:p>
            <w:r>
              <w:t xml:space="preserve">otel_dag</w:t>
            </w:r>
          </w:p>
        </w:tc>
        <w:tc>
          <w:tcPr>
            <w:tcW w:w="1600" w:type="dxa"/>
          </w:tcPr>
          <w:p>
            <w:r>
              <w:t xml:space="preserve">Dağ-Kayak Oteli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150–1500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Otel F&amp;B</w:t>
            </w:r>
          </w:p>
        </w:tc>
        <w:tc>
          <w:tcPr>
            <w:tcW w:w="1600" w:type="dxa"/>
          </w:tcPr>
          <w:p>
            <w:r>
              <w:t xml:space="preserve">otel_tatil</w:t>
            </w:r>
          </w:p>
        </w:tc>
        <w:tc>
          <w:tcPr>
            <w:tcW w:w="1600" w:type="dxa"/>
          </w:tcPr>
          <w:p>
            <w:r>
              <w:t xml:space="preserve">Tatil Oteli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250–4000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Catering</w:t>
            </w:r>
          </w:p>
        </w:tc>
        <w:tc>
          <w:tcPr>
            <w:tcW w:w="1600" w:type="dxa"/>
          </w:tcPr>
          <w:p>
            <w:r>
              <w:t xml:space="preserve">catering_uretim</w:t>
            </w:r>
          </w:p>
        </w:tc>
        <w:tc>
          <w:tcPr>
            <w:tcW w:w="1600" w:type="dxa"/>
          </w:tcPr>
          <w:p>
            <w:r>
              <w:t xml:space="preserve">Üretim Fabrikası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200–3000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Catering</w:t>
            </w:r>
          </w:p>
        </w:tc>
        <w:tc>
          <w:tcPr>
            <w:tcW w:w="1600" w:type="dxa"/>
          </w:tcPr>
          <w:p>
            <w:r>
              <w:t xml:space="preserve">catering_tasima</w:t>
            </w:r>
          </w:p>
        </w:tc>
        <w:tc>
          <w:tcPr>
            <w:tcW w:w="1600" w:type="dxa"/>
          </w:tcPr>
          <w:p>
            <w:r>
              <w:t xml:space="preserve">Taşıma Yemek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100–1500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Bulut Mutfak</w:t>
            </w:r>
          </w:p>
        </w:tc>
        <w:tc>
          <w:tcPr>
            <w:tcW w:w="1600" w:type="dxa"/>
          </w:tcPr>
          <w:p>
            <w:r>
              <w:t xml:space="preserve">bulut_grab_go</w:t>
            </w:r>
          </w:p>
        </w:tc>
        <w:tc>
          <w:tcPr>
            <w:tcW w:w="1600" w:type="dxa"/>
          </w:tcPr>
          <w:p>
            <w:r>
              <w:t xml:space="preserve">Grab&amp;Go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8–15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Bulut Mutfak</w:t>
            </w:r>
          </w:p>
        </w:tc>
        <w:tc>
          <w:tcPr>
            <w:tcW w:w="1600" w:type="dxa"/>
          </w:tcPr>
          <w:p>
            <w:r>
              <w:t xml:space="preserve">bulut_coffee_counter</w:t>
            </w:r>
          </w:p>
        </w:tc>
        <w:tc>
          <w:tcPr>
            <w:tcW w:w="1600" w:type="dxa"/>
          </w:tcPr>
          <w:p>
            <w:r>
              <w:t xml:space="preserve">Coffee Counter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8–15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Bulut Mutfak</w:t>
            </w:r>
          </w:p>
        </w:tc>
        <w:tc>
          <w:tcPr>
            <w:tcW w:w="1600" w:type="dxa"/>
          </w:tcPr>
          <w:p>
            <w:r>
              <w:t xml:space="preserve">bulut_doner</w:t>
            </w:r>
          </w:p>
        </w:tc>
        <w:tc>
          <w:tcPr>
            <w:tcW w:w="1600" w:type="dxa"/>
          </w:tcPr>
          <w:p>
            <w:r>
              <w:t xml:space="preserve">Döner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40–120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Bulut Mutfak</w:t>
            </w:r>
          </w:p>
        </w:tc>
        <w:tc>
          <w:tcPr>
            <w:tcW w:w="1600" w:type="dxa"/>
          </w:tcPr>
          <w:p>
            <w:r>
              <w:t xml:space="preserve">bulut_pizza</w:t>
            </w:r>
          </w:p>
        </w:tc>
        <w:tc>
          <w:tcPr>
            <w:tcW w:w="1600" w:type="dxa"/>
          </w:tcPr>
          <w:p>
            <w:r>
              <w:t xml:space="preserve">Pizza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35–100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Bulut Mutfak</w:t>
            </w:r>
          </w:p>
        </w:tc>
        <w:tc>
          <w:tcPr>
            <w:tcW w:w="1600" w:type="dxa"/>
          </w:tcPr>
          <w:p>
            <w:r>
              <w:t xml:space="preserve">bulut_pide</w:t>
            </w:r>
          </w:p>
        </w:tc>
        <w:tc>
          <w:tcPr>
            <w:tcW w:w="1600" w:type="dxa"/>
          </w:tcPr>
          <w:p>
            <w:r>
              <w:t xml:space="preserve">Pide &amp; Lahmacun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35–100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Bulut Mutfak</w:t>
            </w:r>
          </w:p>
        </w:tc>
        <w:tc>
          <w:tcPr>
            <w:tcW w:w="1600" w:type="dxa"/>
          </w:tcPr>
          <w:p>
            <w:r>
              <w:t xml:space="preserve">bulut_burger</w:t>
            </w:r>
          </w:p>
        </w:tc>
        <w:tc>
          <w:tcPr>
            <w:tcW w:w="1600" w:type="dxa"/>
          </w:tcPr>
          <w:p>
            <w:r>
              <w:t xml:space="preserve">Burger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35–100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Bulut Mutfak</w:t>
            </w:r>
          </w:p>
        </w:tc>
        <w:tc>
          <w:tcPr>
            <w:tcW w:w="1600" w:type="dxa"/>
          </w:tcPr>
          <w:p>
            <w:r>
              <w:t xml:space="preserve">bulut_ev_yemek</w:t>
            </w:r>
          </w:p>
        </w:tc>
        <w:tc>
          <w:tcPr>
            <w:tcW w:w="1600" w:type="dxa"/>
          </w:tcPr>
          <w:p>
            <w:r>
              <w:t xml:space="preserve">Ev Yemekleri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40–120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Bulut Mutfak</w:t>
            </w:r>
          </w:p>
        </w:tc>
        <w:tc>
          <w:tcPr>
            <w:tcW w:w="1600" w:type="dxa"/>
          </w:tcPr>
          <w:p>
            <w:r>
              <w:t xml:space="preserve">bulut_kebap</w:t>
            </w:r>
          </w:p>
        </w:tc>
        <w:tc>
          <w:tcPr>
            <w:tcW w:w="1600" w:type="dxa"/>
          </w:tcPr>
          <w:p>
            <w:r>
              <w:t xml:space="preserve">Kebap &amp; Türk Mutfağı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50–150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Üretim / Fabrika</w:t>
            </w:r>
          </w:p>
        </w:tc>
        <w:tc>
          <w:tcPr>
            <w:tcW w:w="1600" w:type="dxa"/>
          </w:tcPr>
          <w:p>
            <w:r>
              <w:t xml:space="preserve">uretim_500_2000</w:t>
            </w:r>
          </w:p>
        </w:tc>
        <w:tc>
          <w:tcPr>
            <w:tcW w:w="1600" w:type="dxa"/>
          </w:tcPr>
          <w:p>
            <w:r>
              <w:t xml:space="preserve">500–2000 m²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500–2000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Üretim / Fabrika</w:t>
            </w:r>
          </w:p>
        </w:tc>
        <w:tc>
          <w:tcPr>
            <w:tcW w:w="1600" w:type="dxa"/>
          </w:tcPr>
          <w:p>
            <w:r>
              <w:t xml:space="preserve">uretim_2000_5000</w:t>
            </w:r>
          </w:p>
        </w:tc>
        <w:tc>
          <w:tcPr>
            <w:tcW w:w="1600" w:type="dxa"/>
          </w:tcPr>
          <w:p>
            <w:r>
              <w:t xml:space="preserve">2000–5000 m²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2000–5000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  <w:tr>
        <w:tc>
          <w:tcPr>
            <w:tcW w:w="1600" w:type="dxa"/>
          </w:tcPr>
          <w:p>
            <w:r>
              <w:t xml:space="preserve">Üretim / Fabrika</w:t>
            </w:r>
          </w:p>
        </w:tc>
        <w:tc>
          <w:tcPr>
            <w:tcW w:w="1600" w:type="dxa"/>
          </w:tcPr>
          <w:p>
            <w:r>
              <w:t xml:space="preserve">uretim_5000_10000</w:t>
            </w:r>
          </w:p>
        </w:tc>
        <w:tc>
          <w:tcPr>
            <w:tcW w:w="1600" w:type="dxa"/>
          </w:tcPr>
          <w:p>
            <w:r>
              <w:t xml:space="preserve">5000–10000 m²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  <w:tc>
          <w:tcPr>
            <w:tcW w:w="1600" w:type="dxa"/>
          </w:tcPr>
          <w:p>
            <w:r>
              <w:t xml:space="preserve">5000–10000</w:t>
            </w:r>
          </w:p>
        </w:tc>
        <w:tc>
          <w:tcPr>
            <w:tcW w:w="1600" w:type="dxa"/>
          </w:tcPr>
          <w:p>
            <w:r>
              <w:t xml:space="preserve">—</w:t>
            </w:r>
          </w:p>
        </w:tc>
      </w:tr>
    </w:tbl>
    <w:p/>
    <w:p>
      <w:r>
        <w:rPr>
          <w:b/>
        </w:rPr>
        <w:t>Not (kısmi tanım)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600" w:type="dxa"/>
          </w:tcPr>
          <w:p>
            <w:r>
              <w:rPr>
                <w:b/>
              </w:rPr>
              <w:t xml:space="preserve">Üst grup</w:t>
            </w:r>
          </w:p>
        </w:tc>
        <w:tc>
          <w:tcPr>
            <w:tcW w:w="1600" w:type="dxa"/>
          </w:tcPr>
          <w:p>
            <w:r>
              <w:rPr>
                <w:b/>
              </w:rPr>
              <w:t xml:space="preserve">ID (legacy)</w:t>
            </w:r>
          </w:p>
        </w:tc>
        <w:tc>
          <w:tcPr>
            <w:tcW w:w="1600" w:type="dxa"/>
          </w:tcPr>
          <w:p>
            <w:r>
              <w:rPr>
                <w:b/>
              </w:rPr>
              <w:t xml:space="preserve">Görünen ad</w:t>
            </w:r>
          </w:p>
        </w:tc>
        <w:tc>
          <w:tcPr>
            <w:tcW w:w="1600" w:type="dxa"/>
          </w:tcPr>
          <w:p>
            <w:r>
              <w:rPr>
                <w:b/>
              </w:rPr>
              <w:t xml:space="preserve">Motor slug</w:t>
            </w:r>
          </w:p>
        </w:tc>
        <w:tc>
          <w:tcPr>
            <w:tcW w:w="1600" w:type="dxa"/>
          </w:tcPr>
          <w:p>
            <w:r>
              <w:rPr>
                <w:b/>
              </w:rPr>
              <w:t xml:space="preserve">m²</w:t>
            </w:r>
          </w:p>
        </w:tc>
        <w:tc>
          <w:tcPr>
            <w:tcW w:w="1600" w:type="dxa"/>
          </w:tcPr>
          <w:p>
            <w:r>
              <w:rPr>
                <w:b/>
              </w:rPr>
              <w:t xml:space="preserve">Ekipman bantları</w:t>
            </w:r>
          </w:p>
        </w:tc>
      </w:tr>
      <w:tr>
        <w:tc>
          <w:tcPr>
            <w:tcW w:w="1600" w:type="dxa"/>
          </w:tcPr>
          <w:p>
            <w:r>
              <w:t xml:space="preserve">Restoran</w:t>
            </w:r>
          </w:p>
        </w:tc>
        <w:tc>
          <w:tcPr>
            <w:tcW w:w="1600" w:type="dxa"/>
          </w:tcPr>
          <w:p>
            <w:r>
              <w:t xml:space="preserve">meyhane</w:t>
            </w:r>
          </w:p>
        </w:tc>
        <w:tc>
          <w:tcPr>
            <w:tcW w:w="1600" w:type="dxa"/>
          </w:tcPr>
          <w:p>
            <w:r>
              <w:t xml:space="preserve">Meyhane / Mezeli</w:t>
            </w:r>
          </w:p>
        </w:tc>
        <w:tc>
          <w:tcPr>
            <w:tcW w:w="1600" w:type="dxa"/>
          </w:tcPr>
          <w:p>
            <w:r>
              <w:t xml:space="preserve">meyhane</w:t>
            </w:r>
          </w:p>
        </w:tc>
        <w:tc>
          <w:tcPr>
            <w:tcW w:w="1600" w:type="dxa"/>
          </w:tcPr>
          <w:p>
            <w:r>
              <w:t xml:space="preserve">100–500</w:t>
            </w:r>
          </w:p>
        </w:tc>
        <w:tc>
          <w:tcPr>
            <w:tcW w:w="1600" w:type="dxa"/>
          </w:tcPr>
          <w:p>
            <w:r>
              <w:t xml:space="preserve">Motor şablonu (referans m² bandı yok)</w:t>
            </w:r>
          </w:p>
        </w:tc>
      </w:tr>
    </w:tbl>
    <w:p/>
    <w:p>
      <w:r>
        <w:t xml:space="preserve">Özet: 27 konseptte ekipman bandı «—»; meyhane ayrıca yalnızca motor şablonu ile tanımlı.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