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Description : </w:t>
      </w:r>
      <w:r w:rsidDel="00000000" w:rsidR="00000000" w:rsidRPr="00000000">
        <w:rPr>
          <w:rFonts w:ascii="Roboto ExtraBold" w:cs="Roboto ExtraBold" w:eastAsia="Roboto ExtraBold" w:hAnsi="Roboto ExtraBold"/>
          <w:rtl w:val="0"/>
        </w:rPr>
        <w:t xml:space="preserve">This query evaluates which types of products (e.g., Laptops, Smartphones, Furniture) are most successful at closing sales at the touchpoint level.</w:t>
      </w:r>
    </w:p>
    <w:p w:rsidR="00000000" w:rsidDel="00000000" w:rsidP="00000000" w:rsidRDefault="00000000" w:rsidRPr="00000000" w14:paraId="00000002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Query : </w:t>
      </w:r>
    </w:p>
    <w:p w:rsidR="00000000" w:rsidDel="00000000" w:rsidP="00000000" w:rsidRDefault="00000000" w:rsidRPr="00000000" w14:paraId="00000005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5731200" cy="234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09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4857750" cy="3686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