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Description : </w:t>
      </w:r>
      <w:r w:rsidDel="00000000" w:rsidR="00000000" w:rsidRPr="00000000">
        <w:rPr>
          <w:rFonts w:ascii="Roboto ExtraBold" w:cs="Roboto ExtraBold" w:eastAsia="Roboto ExtraBold" w:hAnsi="Roboto ExtraBold"/>
          <w:rtl w:val="0"/>
        </w:rPr>
        <w:t xml:space="preserve">This query evaluates how each acquisition Channel performs by calculating total touchpoint costs, overall revenue, conversion rate, and return on ad spend (ROAS).</w:t>
      </w:r>
    </w:p>
    <w:p w:rsidR="00000000" w:rsidDel="00000000" w:rsidP="00000000" w:rsidRDefault="00000000" w:rsidRPr="00000000" w14:paraId="00000002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Query : </w:t>
      </w:r>
    </w:p>
    <w:p w:rsidR="00000000" w:rsidDel="00000000" w:rsidP="00000000" w:rsidRDefault="00000000" w:rsidRPr="00000000" w14:paraId="00000006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57312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0C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57312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