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FE99" w14:textId="50B4E7FD" w:rsidR="00B40870" w:rsidRDefault="00B40870" w:rsidP="00B40870">
      <w:pPr>
        <w:pStyle w:val="Heading1"/>
        <w:jc w:val="center"/>
        <w:rPr>
          <w:sz w:val="50"/>
          <w:szCs w:val="50"/>
        </w:rPr>
      </w:pPr>
      <w:proofErr w:type="spellStart"/>
      <w:r w:rsidRPr="00B40870">
        <w:rPr>
          <w:sz w:val="50"/>
          <w:szCs w:val="50"/>
        </w:rPr>
        <w:t>ShatruBetaarJaal</w:t>
      </w:r>
      <w:proofErr w:type="spellEnd"/>
    </w:p>
    <w:p w14:paraId="5B146DE2" w14:textId="612614BD" w:rsidR="00B40870" w:rsidRDefault="00B40870" w:rsidP="00B40870">
      <w:pPr>
        <w:pStyle w:val="Title"/>
        <w:spacing w:before="200"/>
      </w:pPr>
      <w:r>
        <w:t xml:space="preserve">A </w:t>
      </w:r>
      <w:r>
        <w:t>Tree-Based Self-Organizing Network</w:t>
      </w:r>
    </w:p>
    <w:p w14:paraId="6543D04D" w14:textId="77777777" w:rsidR="00B40870" w:rsidRPr="00B40870" w:rsidRDefault="00B40870" w:rsidP="00B40870"/>
    <w:p w14:paraId="4AFD2A5B" w14:textId="7D49696C" w:rsidR="007E4402" w:rsidRDefault="00000000" w:rsidP="00B40870">
      <w:pPr>
        <w:pStyle w:val="NoSpacing"/>
        <w:jc w:val="center"/>
        <w:rPr>
          <w:rFonts w:hint="eastAsia"/>
        </w:rPr>
      </w:pPr>
      <w:r>
        <w:t>PROTOCOL</w:t>
      </w:r>
      <w:r w:rsidR="00B40870">
        <w:t xml:space="preserve"> </w:t>
      </w:r>
      <w:r>
        <w:t>SPECIFICATION</w:t>
      </w:r>
    </w:p>
    <w:p w14:paraId="0054B6DC" w14:textId="77777777" w:rsidR="007E4402" w:rsidRDefault="00000000">
      <w:pPr>
        <w:spacing w:before="100"/>
        <w:rPr>
          <w:rFonts w:hint="eastAsia"/>
        </w:rPr>
      </w:pPr>
      <w:r>
        <w:rPr>
          <w:color w:val="506070"/>
          <w:sz w:val="26"/>
        </w:rPr>
        <w:t>Hierarchical admission • Subtree authority • Liveness • Recovery</w:t>
      </w:r>
    </w:p>
    <w:p w14:paraId="4CF7D5FC" w14:textId="77777777" w:rsidR="007E4402" w:rsidRDefault="00000000">
      <w:pPr>
        <w:rPr>
          <w:rFonts w:hint="eastAsia"/>
        </w:rPr>
      </w:pPr>
      <w:r>
        <w:rPr>
          <w:noProof/>
        </w:rPr>
        <w:drawing>
          <wp:inline distT="0" distB="0" distL="0" distR="0" wp14:anchorId="7213E821" wp14:editId="00BD20CB">
            <wp:extent cx="5897880" cy="339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topology.png"/>
                    <pic:cNvPicPr/>
                  </pic:nvPicPr>
                  <pic:blipFill>
                    <a:blip r:embed="rId8"/>
                    <a:stretch>
                      <a:fillRect/>
                    </a:stretch>
                  </pic:blipFill>
                  <pic:spPr>
                    <a:xfrm>
                      <a:off x="0" y="0"/>
                      <a:ext cx="5897880" cy="3394600"/>
                    </a:xfrm>
                    <a:prstGeom prst="rect">
                      <a:avLst/>
                    </a:prstGeom>
                  </pic:spPr>
                </pic:pic>
              </a:graphicData>
            </a:graphic>
          </wp:inline>
        </w:drawing>
      </w:r>
    </w:p>
    <w:p w14:paraId="5AD90A00" w14:textId="77777777" w:rsidR="007E4402" w:rsidRDefault="00000000">
      <w:pPr>
        <w:spacing w:after="160"/>
        <w:jc w:val="center"/>
        <w:rPr>
          <w:rFonts w:hint="eastAsia"/>
        </w:rPr>
      </w:pPr>
      <w:r>
        <w:rPr>
          <w:i/>
          <w:color w:val="5F6E7D"/>
          <w:sz w:val="16"/>
        </w:rPr>
        <w:t>Reference topology illustrating single-host parent–child relationships.</w:t>
      </w:r>
    </w:p>
    <w:p w14:paraId="536187FA" w14:textId="77777777" w:rsidR="007E4402" w:rsidRDefault="007E4402">
      <w:pPr>
        <w:rPr>
          <w:rFonts w:hint="eastAsia"/>
        </w:rPr>
      </w:pPr>
    </w:p>
    <w:tbl>
      <w:tblPr>
        <w:tblW w:w="0" w:type="auto"/>
        <w:tblLook w:val="04A0" w:firstRow="1" w:lastRow="0" w:firstColumn="1" w:lastColumn="0" w:noHBand="0" w:noVBand="1"/>
      </w:tblPr>
      <w:tblGrid>
        <w:gridCol w:w="4939"/>
        <w:gridCol w:w="4939"/>
      </w:tblGrid>
      <w:tr w:rsidR="007E4402" w14:paraId="5C545FA5" w14:textId="77777777">
        <w:trPr>
          <w:cantSplit/>
        </w:trPr>
        <w:tc>
          <w:tcPr>
            <w:tcW w:w="4939" w:type="dxa"/>
            <w:shd w:val="clear" w:color="auto" w:fill="EAF2FB"/>
            <w:vAlign w:val="center"/>
          </w:tcPr>
          <w:p w14:paraId="5FAA63D3" w14:textId="77777777" w:rsidR="007E4402" w:rsidRDefault="00000000">
            <w:pPr>
              <w:spacing w:after="20"/>
              <w:rPr>
                <w:rFonts w:hint="eastAsia"/>
              </w:rPr>
            </w:pPr>
            <w:r>
              <w:rPr>
                <w:b/>
                <w:color w:val="17365D"/>
                <w:sz w:val="18"/>
              </w:rPr>
              <w:t>Document ID</w:t>
            </w:r>
          </w:p>
        </w:tc>
        <w:tc>
          <w:tcPr>
            <w:tcW w:w="4939" w:type="dxa"/>
            <w:vAlign w:val="center"/>
          </w:tcPr>
          <w:p w14:paraId="26C485F9" w14:textId="77777777" w:rsidR="007E4402" w:rsidRDefault="00000000">
            <w:pPr>
              <w:spacing w:after="20"/>
              <w:rPr>
                <w:rFonts w:hint="eastAsia"/>
              </w:rPr>
            </w:pPr>
            <w:r>
              <w:rPr>
                <w:sz w:val="18"/>
              </w:rPr>
              <w:t>TSN-PROT-001</w:t>
            </w:r>
          </w:p>
        </w:tc>
      </w:tr>
      <w:tr w:rsidR="007E4402" w14:paraId="12CB6944" w14:textId="77777777">
        <w:trPr>
          <w:cantSplit/>
        </w:trPr>
        <w:tc>
          <w:tcPr>
            <w:tcW w:w="4939" w:type="dxa"/>
            <w:shd w:val="clear" w:color="auto" w:fill="EAF2FB"/>
            <w:vAlign w:val="center"/>
          </w:tcPr>
          <w:p w14:paraId="2BE63401" w14:textId="77777777" w:rsidR="007E4402" w:rsidRDefault="00000000">
            <w:pPr>
              <w:spacing w:after="20"/>
              <w:rPr>
                <w:rFonts w:hint="eastAsia"/>
              </w:rPr>
            </w:pPr>
            <w:r>
              <w:rPr>
                <w:b/>
                <w:color w:val="17365D"/>
                <w:sz w:val="18"/>
              </w:rPr>
              <w:t>Version</w:t>
            </w:r>
          </w:p>
        </w:tc>
        <w:tc>
          <w:tcPr>
            <w:tcW w:w="4939" w:type="dxa"/>
            <w:vAlign w:val="center"/>
          </w:tcPr>
          <w:p w14:paraId="3965D5E4" w14:textId="77777777" w:rsidR="007E4402" w:rsidRDefault="00000000">
            <w:pPr>
              <w:spacing w:after="20"/>
              <w:rPr>
                <w:rFonts w:hint="eastAsia"/>
              </w:rPr>
            </w:pPr>
            <w:r>
              <w:rPr>
                <w:sz w:val="18"/>
              </w:rPr>
              <w:t>0.1 — Draft</w:t>
            </w:r>
          </w:p>
        </w:tc>
      </w:tr>
      <w:tr w:rsidR="007E4402" w14:paraId="09D3D9AD" w14:textId="77777777">
        <w:trPr>
          <w:cantSplit/>
        </w:trPr>
        <w:tc>
          <w:tcPr>
            <w:tcW w:w="4939" w:type="dxa"/>
            <w:shd w:val="clear" w:color="auto" w:fill="EAF2FB"/>
            <w:vAlign w:val="center"/>
          </w:tcPr>
          <w:p w14:paraId="20921C96" w14:textId="77777777" w:rsidR="007E4402" w:rsidRDefault="00000000">
            <w:pPr>
              <w:spacing w:after="20"/>
              <w:rPr>
                <w:rFonts w:hint="eastAsia"/>
              </w:rPr>
            </w:pPr>
            <w:r>
              <w:rPr>
                <w:b/>
                <w:color w:val="17365D"/>
                <w:sz w:val="18"/>
              </w:rPr>
              <w:t>Status</w:t>
            </w:r>
          </w:p>
        </w:tc>
        <w:tc>
          <w:tcPr>
            <w:tcW w:w="4939" w:type="dxa"/>
            <w:vAlign w:val="center"/>
          </w:tcPr>
          <w:p w14:paraId="205F79E4" w14:textId="77777777" w:rsidR="007E4402" w:rsidRDefault="00000000">
            <w:pPr>
              <w:spacing w:after="20"/>
              <w:rPr>
                <w:rFonts w:hint="eastAsia"/>
              </w:rPr>
            </w:pPr>
            <w:r>
              <w:rPr>
                <w:sz w:val="18"/>
              </w:rPr>
              <w:t>Architecture specification</w:t>
            </w:r>
          </w:p>
        </w:tc>
      </w:tr>
      <w:tr w:rsidR="007E4402" w14:paraId="6E05ED5B" w14:textId="77777777">
        <w:trPr>
          <w:cantSplit/>
        </w:trPr>
        <w:tc>
          <w:tcPr>
            <w:tcW w:w="4939" w:type="dxa"/>
            <w:shd w:val="clear" w:color="auto" w:fill="EAF2FB"/>
            <w:vAlign w:val="center"/>
          </w:tcPr>
          <w:p w14:paraId="1F527E04" w14:textId="77777777" w:rsidR="007E4402" w:rsidRDefault="00000000">
            <w:pPr>
              <w:spacing w:after="20"/>
              <w:rPr>
                <w:rFonts w:hint="eastAsia"/>
              </w:rPr>
            </w:pPr>
            <w:r>
              <w:rPr>
                <w:b/>
                <w:color w:val="17365D"/>
                <w:sz w:val="18"/>
              </w:rPr>
              <w:t>Scope</w:t>
            </w:r>
          </w:p>
        </w:tc>
        <w:tc>
          <w:tcPr>
            <w:tcW w:w="4939" w:type="dxa"/>
            <w:vAlign w:val="center"/>
          </w:tcPr>
          <w:p w14:paraId="3AB933D3" w14:textId="77777777" w:rsidR="007E4402" w:rsidRDefault="00000000">
            <w:pPr>
              <w:spacing w:after="20"/>
              <w:rPr>
                <w:rFonts w:hint="eastAsia"/>
              </w:rPr>
            </w:pPr>
            <w:r>
              <w:rPr>
                <w:sz w:val="18"/>
              </w:rPr>
              <w:t>Tree formation, admission, map synchronization, liveness and recovery</w:t>
            </w:r>
          </w:p>
        </w:tc>
      </w:tr>
    </w:tbl>
    <w:p w14:paraId="746FB5BD" w14:textId="77777777" w:rsidR="007E4402" w:rsidRDefault="007E4402">
      <w:pPr>
        <w:rPr>
          <w:rFonts w:hint="eastAsia"/>
        </w:rPr>
      </w:pPr>
    </w:p>
    <w:tbl>
      <w:tblPr>
        <w:tblW w:w="0" w:type="auto"/>
        <w:jc w:val="center"/>
        <w:tblLook w:val="04A0" w:firstRow="1" w:lastRow="0" w:firstColumn="1" w:lastColumn="0" w:noHBand="0" w:noVBand="1"/>
      </w:tblPr>
      <w:tblGrid>
        <w:gridCol w:w="9878"/>
      </w:tblGrid>
      <w:tr w:rsidR="007E4402" w14:paraId="17BCDF37" w14:textId="77777777">
        <w:trPr>
          <w:cantSplit/>
          <w:jc w:val="center"/>
        </w:trPr>
        <w:tc>
          <w:tcPr>
            <w:tcW w:w="9878" w:type="dxa"/>
            <w:shd w:val="clear" w:color="auto" w:fill="F4F6F8"/>
          </w:tcPr>
          <w:p w14:paraId="7C9C1342" w14:textId="77777777" w:rsidR="007E4402" w:rsidRDefault="00000000">
            <w:pPr>
              <w:spacing w:after="60"/>
              <w:rPr>
                <w:rFonts w:hint="eastAsia"/>
              </w:rPr>
            </w:pPr>
            <w:r>
              <w:rPr>
                <w:b/>
                <w:color w:val="17365D"/>
                <w:sz w:val="20"/>
              </w:rPr>
              <w:t>Specification note</w:t>
            </w:r>
          </w:p>
          <w:p w14:paraId="0A9BD812" w14:textId="77777777" w:rsidR="007E4402" w:rsidRDefault="00000000">
            <w:pPr>
              <w:spacing w:after="60"/>
              <w:rPr>
                <w:rFonts w:hint="eastAsia"/>
              </w:rPr>
            </w:pPr>
            <w:r>
              <w:rPr>
                <w:sz w:val="18"/>
              </w:rPr>
              <w:t>This document consolidates the protocol rules established in the design discussion. Unspecified numerical parameters and unresolved implementation details are explicitly marked; they are not silently assumed.</w:t>
            </w:r>
          </w:p>
        </w:tc>
      </w:tr>
    </w:tbl>
    <w:p w14:paraId="43CC0F0E" w14:textId="77777777" w:rsidR="007E4402" w:rsidRDefault="007E4402">
      <w:pPr>
        <w:spacing w:after="20"/>
        <w:rPr>
          <w:rFonts w:hint="eastAsia"/>
        </w:rPr>
      </w:pPr>
    </w:p>
    <w:p w14:paraId="066A7045" w14:textId="77777777" w:rsidR="007E4402" w:rsidRDefault="00000000">
      <w:pPr>
        <w:rPr>
          <w:rFonts w:hint="eastAsia"/>
        </w:rPr>
      </w:pPr>
      <w:r>
        <w:br w:type="page"/>
      </w:r>
    </w:p>
    <w:p w14:paraId="3C61B4EC" w14:textId="77777777" w:rsidR="007E4402"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376"/>
        <w:gridCol w:w="7056"/>
      </w:tblGrid>
      <w:tr w:rsidR="007E4402" w14:paraId="2B07F91C" w14:textId="77777777">
        <w:trPr>
          <w:cantSplit/>
          <w:jc w:val="center"/>
        </w:trPr>
        <w:tc>
          <w:tcPr>
            <w:tcW w:w="2376" w:type="dxa"/>
            <w:shd w:val="clear" w:color="auto" w:fill="17365D"/>
            <w:vAlign w:val="center"/>
          </w:tcPr>
          <w:p w14:paraId="0B66A1DF" w14:textId="77777777" w:rsidR="007E4402" w:rsidRDefault="00000000">
            <w:pPr>
              <w:spacing w:after="20"/>
              <w:rPr>
                <w:rFonts w:hint="eastAsia"/>
              </w:rPr>
            </w:pPr>
            <w:r>
              <w:rPr>
                <w:b/>
                <w:color w:val="FFFFFF"/>
                <w:sz w:val="17"/>
              </w:rPr>
              <w:t>Field</w:t>
            </w:r>
          </w:p>
        </w:tc>
        <w:tc>
          <w:tcPr>
            <w:tcW w:w="7056" w:type="dxa"/>
            <w:shd w:val="clear" w:color="auto" w:fill="17365D"/>
            <w:vAlign w:val="center"/>
          </w:tcPr>
          <w:p w14:paraId="7B5C9D35" w14:textId="77777777" w:rsidR="007E4402" w:rsidRDefault="00000000">
            <w:pPr>
              <w:spacing w:after="20"/>
              <w:rPr>
                <w:rFonts w:hint="eastAsia"/>
              </w:rPr>
            </w:pPr>
            <w:r>
              <w:rPr>
                <w:b/>
                <w:color w:val="FFFFFF"/>
                <w:sz w:val="17"/>
              </w:rPr>
              <w:t>Value</w:t>
            </w:r>
          </w:p>
        </w:tc>
      </w:tr>
      <w:tr w:rsidR="007E4402" w14:paraId="06584E21" w14:textId="77777777">
        <w:trPr>
          <w:cantSplit/>
          <w:jc w:val="center"/>
        </w:trPr>
        <w:tc>
          <w:tcPr>
            <w:tcW w:w="2376" w:type="dxa"/>
            <w:vAlign w:val="center"/>
          </w:tcPr>
          <w:p w14:paraId="6BEC6E94" w14:textId="77777777" w:rsidR="007E4402" w:rsidRDefault="00000000">
            <w:pPr>
              <w:spacing w:after="20"/>
              <w:rPr>
                <w:rFonts w:hint="eastAsia"/>
              </w:rPr>
            </w:pPr>
            <w:r>
              <w:rPr>
                <w:sz w:val="16"/>
              </w:rPr>
              <w:t>Document title</w:t>
            </w:r>
          </w:p>
        </w:tc>
        <w:tc>
          <w:tcPr>
            <w:tcW w:w="7056" w:type="dxa"/>
            <w:vAlign w:val="center"/>
          </w:tcPr>
          <w:p w14:paraId="685B0193" w14:textId="77777777" w:rsidR="007E4402" w:rsidRDefault="00000000">
            <w:pPr>
              <w:spacing w:after="20"/>
              <w:rPr>
                <w:rFonts w:hint="eastAsia"/>
              </w:rPr>
            </w:pPr>
            <w:r>
              <w:rPr>
                <w:sz w:val="16"/>
              </w:rPr>
              <w:t>Tree-Based Self-Organizing Network Protocol</w:t>
            </w:r>
          </w:p>
        </w:tc>
      </w:tr>
      <w:tr w:rsidR="007E4402" w14:paraId="56D34DCC" w14:textId="77777777">
        <w:trPr>
          <w:cantSplit/>
          <w:jc w:val="center"/>
        </w:trPr>
        <w:tc>
          <w:tcPr>
            <w:tcW w:w="2376" w:type="dxa"/>
            <w:shd w:val="clear" w:color="auto" w:fill="F1F5F9"/>
            <w:vAlign w:val="center"/>
          </w:tcPr>
          <w:p w14:paraId="04BA06C8" w14:textId="77777777" w:rsidR="007E4402" w:rsidRDefault="00000000">
            <w:pPr>
              <w:spacing w:after="20"/>
              <w:rPr>
                <w:rFonts w:hint="eastAsia"/>
              </w:rPr>
            </w:pPr>
            <w:r>
              <w:rPr>
                <w:sz w:val="16"/>
              </w:rPr>
              <w:t>Document ID</w:t>
            </w:r>
          </w:p>
        </w:tc>
        <w:tc>
          <w:tcPr>
            <w:tcW w:w="7056" w:type="dxa"/>
            <w:shd w:val="clear" w:color="auto" w:fill="F1F5F9"/>
            <w:vAlign w:val="center"/>
          </w:tcPr>
          <w:p w14:paraId="6FA2E25F" w14:textId="77777777" w:rsidR="007E4402" w:rsidRDefault="00000000">
            <w:pPr>
              <w:spacing w:after="20"/>
              <w:rPr>
                <w:rFonts w:hint="eastAsia"/>
              </w:rPr>
            </w:pPr>
            <w:r>
              <w:rPr>
                <w:sz w:val="16"/>
              </w:rPr>
              <w:t>TSN-PROT-001</w:t>
            </w:r>
          </w:p>
        </w:tc>
      </w:tr>
      <w:tr w:rsidR="007E4402" w14:paraId="28689D0C" w14:textId="77777777">
        <w:trPr>
          <w:cantSplit/>
          <w:jc w:val="center"/>
        </w:trPr>
        <w:tc>
          <w:tcPr>
            <w:tcW w:w="2376" w:type="dxa"/>
            <w:vAlign w:val="center"/>
          </w:tcPr>
          <w:p w14:paraId="035C6B8C" w14:textId="77777777" w:rsidR="007E4402" w:rsidRDefault="00000000">
            <w:pPr>
              <w:spacing w:after="20"/>
              <w:rPr>
                <w:rFonts w:hint="eastAsia"/>
              </w:rPr>
            </w:pPr>
            <w:r>
              <w:rPr>
                <w:sz w:val="16"/>
              </w:rPr>
              <w:t>Version</w:t>
            </w:r>
          </w:p>
        </w:tc>
        <w:tc>
          <w:tcPr>
            <w:tcW w:w="7056" w:type="dxa"/>
            <w:vAlign w:val="center"/>
          </w:tcPr>
          <w:p w14:paraId="0B968492" w14:textId="77777777" w:rsidR="007E4402" w:rsidRDefault="00000000">
            <w:pPr>
              <w:spacing w:after="20"/>
              <w:rPr>
                <w:rFonts w:hint="eastAsia"/>
              </w:rPr>
            </w:pPr>
            <w:r>
              <w:rPr>
                <w:sz w:val="16"/>
              </w:rPr>
              <w:t>0.1</w:t>
            </w:r>
          </w:p>
        </w:tc>
      </w:tr>
      <w:tr w:rsidR="007E4402" w14:paraId="0758DDBD" w14:textId="77777777">
        <w:trPr>
          <w:cantSplit/>
          <w:jc w:val="center"/>
        </w:trPr>
        <w:tc>
          <w:tcPr>
            <w:tcW w:w="2376" w:type="dxa"/>
            <w:shd w:val="clear" w:color="auto" w:fill="F1F5F9"/>
            <w:vAlign w:val="center"/>
          </w:tcPr>
          <w:p w14:paraId="505D9E30" w14:textId="77777777" w:rsidR="007E4402" w:rsidRDefault="00000000">
            <w:pPr>
              <w:spacing w:after="20"/>
              <w:rPr>
                <w:rFonts w:hint="eastAsia"/>
              </w:rPr>
            </w:pPr>
            <w:r>
              <w:rPr>
                <w:sz w:val="16"/>
              </w:rPr>
              <w:t>Status</w:t>
            </w:r>
          </w:p>
        </w:tc>
        <w:tc>
          <w:tcPr>
            <w:tcW w:w="7056" w:type="dxa"/>
            <w:shd w:val="clear" w:color="auto" w:fill="F1F5F9"/>
            <w:vAlign w:val="center"/>
          </w:tcPr>
          <w:p w14:paraId="328A868F" w14:textId="77777777" w:rsidR="007E4402" w:rsidRDefault="00000000">
            <w:pPr>
              <w:spacing w:after="20"/>
              <w:rPr>
                <w:rFonts w:hint="eastAsia"/>
              </w:rPr>
            </w:pPr>
            <w:r>
              <w:rPr>
                <w:sz w:val="16"/>
              </w:rPr>
              <w:t>Draft for technical review</w:t>
            </w:r>
          </w:p>
        </w:tc>
      </w:tr>
      <w:tr w:rsidR="007E4402" w14:paraId="65BD4775" w14:textId="77777777">
        <w:trPr>
          <w:cantSplit/>
          <w:jc w:val="center"/>
        </w:trPr>
        <w:tc>
          <w:tcPr>
            <w:tcW w:w="2376" w:type="dxa"/>
            <w:vAlign w:val="center"/>
          </w:tcPr>
          <w:p w14:paraId="773F6191" w14:textId="77777777" w:rsidR="007E4402" w:rsidRDefault="00000000">
            <w:pPr>
              <w:spacing w:after="20"/>
              <w:rPr>
                <w:rFonts w:hint="eastAsia"/>
              </w:rPr>
            </w:pPr>
            <w:r>
              <w:rPr>
                <w:sz w:val="16"/>
              </w:rPr>
              <w:t>Primary purpose</w:t>
            </w:r>
          </w:p>
        </w:tc>
        <w:tc>
          <w:tcPr>
            <w:tcW w:w="7056" w:type="dxa"/>
            <w:vAlign w:val="center"/>
          </w:tcPr>
          <w:p w14:paraId="558EE392" w14:textId="77777777" w:rsidR="007E4402" w:rsidRDefault="00000000">
            <w:pPr>
              <w:spacing w:after="20"/>
              <w:rPr>
                <w:rFonts w:hint="eastAsia"/>
              </w:rPr>
            </w:pPr>
            <w:r>
              <w:rPr>
                <w:sz w:val="16"/>
              </w:rPr>
              <w:t>Specify topology, authority, admission, synchronization, liveness and recovery behavior</w:t>
            </w:r>
          </w:p>
        </w:tc>
      </w:tr>
      <w:tr w:rsidR="007E4402" w14:paraId="00243765" w14:textId="77777777">
        <w:trPr>
          <w:cantSplit/>
          <w:jc w:val="center"/>
        </w:trPr>
        <w:tc>
          <w:tcPr>
            <w:tcW w:w="2376" w:type="dxa"/>
            <w:shd w:val="clear" w:color="auto" w:fill="F1F5F9"/>
            <w:vAlign w:val="center"/>
          </w:tcPr>
          <w:p w14:paraId="296B312A" w14:textId="77777777" w:rsidR="007E4402" w:rsidRDefault="00000000">
            <w:pPr>
              <w:spacing w:after="20"/>
              <w:rPr>
                <w:rFonts w:hint="eastAsia"/>
              </w:rPr>
            </w:pPr>
            <w:r>
              <w:rPr>
                <w:sz w:val="16"/>
              </w:rPr>
              <w:t>Normative language</w:t>
            </w:r>
          </w:p>
        </w:tc>
        <w:tc>
          <w:tcPr>
            <w:tcW w:w="7056" w:type="dxa"/>
            <w:shd w:val="clear" w:color="auto" w:fill="F1F5F9"/>
            <w:vAlign w:val="center"/>
          </w:tcPr>
          <w:p w14:paraId="1049F40C" w14:textId="77777777" w:rsidR="007E4402" w:rsidRDefault="00000000">
            <w:pPr>
              <w:spacing w:after="20"/>
              <w:rPr>
                <w:rFonts w:hint="eastAsia"/>
              </w:rPr>
            </w:pPr>
            <w:r>
              <w:rPr>
                <w:sz w:val="16"/>
              </w:rPr>
              <w:t>“Must” indicates a required invariant; “should” indicates a design recommendation; “pending” indicates an unresolved specification detail.</w:t>
            </w:r>
          </w:p>
        </w:tc>
      </w:tr>
    </w:tbl>
    <w:p w14:paraId="086DD8AA" w14:textId="77777777" w:rsidR="007E4402" w:rsidRDefault="007E4402">
      <w:pPr>
        <w:spacing w:after="20"/>
        <w:rPr>
          <w:rFonts w:hint="eastAsia"/>
        </w:rPr>
      </w:pPr>
    </w:p>
    <w:p w14:paraId="791DA35C" w14:textId="77777777" w:rsidR="007E4402" w:rsidRDefault="00000000">
      <w:pPr>
        <w:pStyle w:val="Heading1"/>
      </w:pPr>
      <w:r>
        <w:t>Contents</w:t>
      </w:r>
    </w:p>
    <w:p w14:paraId="0110F215" w14:textId="77777777" w:rsidR="007E4402" w:rsidRDefault="00000000">
      <w:pPr>
        <w:pStyle w:val="ListBullet"/>
        <w:spacing w:after="40"/>
        <w:rPr>
          <w:rFonts w:hint="eastAsia"/>
        </w:rPr>
      </w:pPr>
      <w:r>
        <w:t>1. Purpose and scope</w:t>
      </w:r>
    </w:p>
    <w:p w14:paraId="0223C8F4" w14:textId="77777777" w:rsidR="007E4402" w:rsidRDefault="00000000">
      <w:pPr>
        <w:pStyle w:val="ListBullet"/>
        <w:spacing w:after="40"/>
        <w:rPr>
          <w:rFonts w:hint="eastAsia"/>
        </w:rPr>
      </w:pPr>
      <w:r>
        <w:t>2. Terminology</w:t>
      </w:r>
    </w:p>
    <w:p w14:paraId="31E0EA65" w14:textId="77777777" w:rsidR="007E4402" w:rsidRDefault="00000000">
      <w:pPr>
        <w:pStyle w:val="ListBullet"/>
        <w:spacing w:after="40"/>
        <w:rPr>
          <w:rFonts w:hint="eastAsia"/>
        </w:rPr>
      </w:pPr>
      <w:r>
        <w:t>3. Topology and invariants</w:t>
      </w:r>
    </w:p>
    <w:p w14:paraId="1C8CFB0C" w14:textId="77777777" w:rsidR="007E4402" w:rsidRDefault="00000000">
      <w:pPr>
        <w:pStyle w:val="ListBullet"/>
        <w:spacing w:after="40"/>
        <w:rPr>
          <w:rFonts w:hint="eastAsia"/>
        </w:rPr>
      </w:pPr>
      <w:r>
        <w:t>4. Subtree authority and register/map</w:t>
      </w:r>
    </w:p>
    <w:p w14:paraId="6787B816" w14:textId="77777777" w:rsidR="007E4402" w:rsidRDefault="00000000">
      <w:pPr>
        <w:pStyle w:val="ListBullet"/>
        <w:spacing w:after="40"/>
        <w:rPr>
          <w:rFonts w:hint="eastAsia"/>
        </w:rPr>
      </w:pPr>
      <w:r>
        <w:t>5. Host compatibility and tie-break</w:t>
      </w:r>
    </w:p>
    <w:p w14:paraId="5CAE1971" w14:textId="77777777" w:rsidR="007E4402" w:rsidRDefault="00000000">
      <w:pPr>
        <w:pStyle w:val="ListBullet"/>
        <w:spacing w:after="40"/>
        <w:rPr>
          <w:rFonts w:hint="eastAsia"/>
        </w:rPr>
      </w:pPr>
      <w:r>
        <w:t>6. Admission protocol</w:t>
      </w:r>
    </w:p>
    <w:p w14:paraId="1E12E65C" w14:textId="77777777" w:rsidR="007E4402" w:rsidRDefault="00000000">
      <w:pPr>
        <w:pStyle w:val="ListBullet"/>
        <w:spacing w:after="40"/>
        <w:rPr>
          <w:rFonts w:hint="eastAsia"/>
        </w:rPr>
      </w:pPr>
      <w:r>
        <w:t>7. Acknowledgment and map consistency</w:t>
      </w:r>
    </w:p>
    <w:p w14:paraId="561C16E3" w14:textId="77777777" w:rsidR="007E4402" w:rsidRDefault="00000000">
      <w:pPr>
        <w:pStyle w:val="ListBullet"/>
        <w:spacing w:after="40"/>
        <w:rPr>
          <w:rFonts w:hint="eastAsia"/>
        </w:rPr>
      </w:pPr>
      <w:r>
        <w:t>8. Normal-operation liveness</w:t>
      </w:r>
    </w:p>
    <w:p w14:paraId="0EA6D68A" w14:textId="77777777" w:rsidR="007E4402" w:rsidRDefault="00000000">
      <w:pPr>
        <w:pStyle w:val="ListBullet"/>
        <w:spacing w:after="40"/>
        <w:rPr>
          <w:rFonts w:hint="eastAsia"/>
        </w:rPr>
      </w:pPr>
      <w:r>
        <w:t>9. Failure detection and recovery</w:t>
      </w:r>
    </w:p>
    <w:p w14:paraId="318117F8" w14:textId="77777777" w:rsidR="007E4402" w:rsidRDefault="00000000">
      <w:pPr>
        <w:pStyle w:val="ListBullet"/>
        <w:spacing w:after="40"/>
        <w:rPr>
          <w:rFonts w:hint="eastAsia"/>
        </w:rPr>
      </w:pPr>
      <w:r>
        <w:t>10. Protocol overhead</w:t>
      </w:r>
    </w:p>
    <w:p w14:paraId="40814289" w14:textId="77777777" w:rsidR="007E4402" w:rsidRDefault="00000000">
      <w:pPr>
        <w:pStyle w:val="ListBullet"/>
        <w:spacing w:after="40"/>
        <w:rPr>
          <w:rFonts w:hint="eastAsia"/>
        </w:rPr>
      </w:pPr>
      <w:r>
        <w:t>11. Security and robustness considerations</w:t>
      </w:r>
    </w:p>
    <w:p w14:paraId="39E25983" w14:textId="77777777" w:rsidR="007E4402" w:rsidRDefault="00000000">
      <w:pPr>
        <w:pStyle w:val="ListBullet"/>
        <w:spacing w:after="40"/>
        <w:rPr>
          <w:rFonts w:hint="eastAsia"/>
        </w:rPr>
      </w:pPr>
      <w:r>
        <w:t>12. Implementation parameters and open items</w:t>
      </w:r>
    </w:p>
    <w:p w14:paraId="3B90C4F7" w14:textId="77777777" w:rsidR="007E4402" w:rsidRDefault="00000000">
      <w:pPr>
        <w:pStyle w:val="ListBullet"/>
        <w:spacing w:after="40"/>
        <w:rPr>
          <w:rFonts w:hint="eastAsia"/>
        </w:rPr>
      </w:pPr>
      <w:r>
        <w:t>Appendix A. Message-flow reference</w:t>
      </w:r>
    </w:p>
    <w:p w14:paraId="3BE1116C" w14:textId="77777777" w:rsidR="007E4402" w:rsidRDefault="00000000">
      <w:pPr>
        <w:pStyle w:val="Heading1"/>
      </w:pPr>
      <w:r>
        <w:t>1. Purpose and scope</w:t>
      </w:r>
    </w:p>
    <w:p w14:paraId="44661FF8" w14:textId="77777777" w:rsidR="007E4402" w:rsidRDefault="00000000">
      <w:pPr>
        <w:rPr>
          <w:rFonts w:hint="eastAsia"/>
        </w:rPr>
      </w:pPr>
      <w:r>
        <w:t>This specification describes a decentralized network protocol in which participating nodes organize into one or more rooted trees. Nodes select suitable hosts, coordinate admission, synchronize the structural register/map, monitor direct-host availability, and recover from host failure.</w:t>
      </w:r>
    </w:p>
    <w:p w14:paraId="1CE54EBA" w14:textId="77777777" w:rsidR="007E4402" w:rsidRDefault="00000000">
      <w:pPr>
        <w:rPr>
          <w:rFonts w:hint="eastAsia"/>
        </w:rPr>
      </w:pPr>
      <w:r>
        <w:t>The protocol is tree-based, not mesh-based. It does not assign a permanent hardware role as root. Each independent tree has a root determined by initiation, and multiple trees may coexist before joining.</w:t>
      </w:r>
    </w:p>
    <w:p w14:paraId="240A030C" w14:textId="77777777" w:rsidR="007E4402" w:rsidRDefault="00000000">
      <w:pPr>
        <w:rPr>
          <w:rFonts w:hint="eastAsia"/>
        </w:rPr>
      </w:pPr>
      <w:r>
        <w:t>The specification covers:</w:t>
      </w:r>
    </w:p>
    <w:p w14:paraId="2F23B628" w14:textId="77777777" w:rsidR="007E4402" w:rsidRDefault="00000000">
      <w:pPr>
        <w:pStyle w:val="ListBullet"/>
        <w:spacing w:after="40"/>
        <w:rPr>
          <w:rFonts w:hint="eastAsia"/>
        </w:rPr>
      </w:pPr>
      <w:r>
        <w:t>Parent–child topology and root determination.</w:t>
      </w:r>
    </w:p>
    <w:p w14:paraId="080FEB5C" w14:textId="77777777" w:rsidR="007E4402" w:rsidRDefault="00000000">
      <w:pPr>
        <w:pStyle w:val="ListBullet"/>
        <w:spacing w:after="40"/>
        <w:rPr>
          <w:rFonts w:hint="eastAsia"/>
        </w:rPr>
      </w:pPr>
      <w:r>
        <w:t>Exclusive authority over hosted subtrees.</w:t>
      </w:r>
    </w:p>
    <w:p w14:paraId="65C4DF31" w14:textId="77777777" w:rsidR="007E4402" w:rsidRDefault="00000000">
      <w:pPr>
        <w:pStyle w:val="ListBullet"/>
        <w:spacing w:after="40"/>
        <w:rPr>
          <w:rFonts w:hint="eastAsia"/>
        </w:rPr>
      </w:pPr>
      <w:r>
        <w:t>Weighted compatibility evaluation using five parameters.</w:t>
      </w:r>
    </w:p>
    <w:p w14:paraId="4CB35289" w14:textId="77777777" w:rsidR="007E4402" w:rsidRDefault="00000000">
      <w:pPr>
        <w:pStyle w:val="ListBullet"/>
        <w:spacing w:after="40"/>
        <w:rPr>
          <w:rFonts w:hint="eastAsia"/>
        </w:rPr>
      </w:pPr>
      <w:r>
        <w:t>Admission acknowledgments and complete-map transfer.</w:t>
      </w:r>
    </w:p>
    <w:p w14:paraId="167235A7" w14:textId="77777777" w:rsidR="007E4402" w:rsidRDefault="00000000">
      <w:pPr>
        <w:pStyle w:val="ListBullet"/>
        <w:spacing w:after="40"/>
        <w:rPr>
          <w:rFonts w:hint="eastAsia"/>
        </w:rPr>
      </w:pPr>
      <w:r>
        <w:t>Ping/pong liveness during normal operation.</w:t>
      </w:r>
    </w:p>
    <w:p w14:paraId="36810004" w14:textId="77777777" w:rsidR="007E4402" w:rsidRDefault="00000000">
      <w:pPr>
        <w:pStyle w:val="ListBullet"/>
        <w:spacing w:after="40"/>
        <w:rPr>
          <w:rFonts w:hint="eastAsia"/>
        </w:rPr>
      </w:pPr>
      <w:r>
        <w:t>Recovery of orphaned subtrees and associated overhead.</w:t>
      </w:r>
    </w:p>
    <w:p w14:paraId="0DEA63B6" w14:textId="77777777" w:rsidR="007E4402" w:rsidRDefault="00000000">
      <w:pPr>
        <w:pStyle w:val="Heading1"/>
      </w:pPr>
      <w:r>
        <w:t>2. Terminology</w:t>
      </w:r>
    </w:p>
    <w:tbl>
      <w:tblPr>
        <w:tblStyle w:val="TableGrid"/>
        <w:tblW w:w="0" w:type="auto"/>
        <w:jc w:val="center"/>
        <w:tblLook w:val="04A0" w:firstRow="1" w:lastRow="0" w:firstColumn="1" w:lastColumn="0" w:noHBand="0" w:noVBand="1"/>
      </w:tblPr>
      <w:tblGrid>
        <w:gridCol w:w="2088"/>
        <w:gridCol w:w="7344"/>
      </w:tblGrid>
      <w:tr w:rsidR="007E4402" w14:paraId="22A3E9F7" w14:textId="77777777">
        <w:trPr>
          <w:cantSplit/>
          <w:jc w:val="center"/>
        </w:trPr>
        <w:tc>
          <w:tcPr>
            <w:tcW w:w="2088" w:type="dxa"/>
            <w:shd w:val="clear" w:color="auto" w:fill="17365D"/>
            <w:vAlign w:val="center"/>
          </w:tcPr>
          <w:p w14:paraId="73FFF0D1" w14:textId="77777777" w:rsidR="007E4402" w:rsidRDefault="00000000">
            <w:pPr>
              <w:spacing w:after="20"/>
              <w:rPr>
                <w:rFonts w:hint="eastAsia"/>
              </w:rPr>
            </w:pPr>
            <w:r>
              <w:rPr>
                <w:b/>
                <w:color w:val="FFFFFF"/>
                <w:sz w:val="17"/>
              </w:rPr>
              <w:t>Term</w:t>
            </w:r>
          </w:p>
        </w:tc>
        <w:tc>
          <w:tcPr>
            <w:tcW w:w="7344" w:type="dxa"/>
            <w:shd w:val="clear" w:color="auto" w:fill="17365D"/>
            <w:vAlign w:val="center"/>
          </w:tcPr>
          <w:p w14:paraId="3CC66881" w14:textId="77777777" w:rsidR="007E4402" w:rsidRDefault="00000000">
            <w:pPr>
              <w:spacing w:after="20"/>
              <w:rPr>
                <w:rFonts w:hint="eastAsia"/>
              </w:rPr>
            </w:pPr>
            <w:r>
              <w:rPr>
                <w:b/>
                <w:color w:val="FFFFFF"/>
                <w:sz w:val="17"/>
              </w:rPr>
              <w:t>Definition</w:t>
            </w:r>
          </w:p>
        </w:tc>
      </w:tr>
      <w:tr w:rsidR="007E4402" w14:paraId="31CC6AA6" w14:textId="77777777">
        <w:trPr>
          <w:cantSplit/>
          <w:jc w:val="center"/>
        </w:trPr>
        <w:tc>
          <w:tcPr>
            <w:tcW w:w="2088" w:type="dxa"/>
            <w:vAlign w:val="center"/>
          </w:tcPr>
          <w:p w14:paraId="05537F0D" w14:textId="77777777" w:rsidR="007E4402" w:rsidRDefault="00000000">
            <w:pPr>
              <w:spacing w:after="20"/>
              <w:rPr>
                <w:rFonts w:hint="eastAsia"/>
              </w:rPr>
            </w:pPr>
            <w:r>
              <w:rPr>
                <w:sz w:val="16"/>
              </w:rPr>
              <w:t>Node</w:t>
            </w:r>
          </w:p>
        </w:tc>
        <w:tc>
          <w:tcPr>
            <w:tcW w:w="7344" w:type="dxa"/>
            <w:vAlign w:val="center"/>
          </w:tcPr>
          <w:p w14:paraId="6F3DD2C9" w14:textId="77777777" w:rsidR="007E4402" w:rsidRDefault="00000000">
            <w:pPr>
              <w:spacing w:after="20"/>
              <w:rPr>
                <w:rFonts w:hint="eastAsia"/>
              </w:rPr>
            </w:pPr>
            <w:r>
              <w:rPr>
                <w:sz w:val="16"/>
              </w:rPr>
              <w:t>A device participating in the network.</w:t>
            </w:r>
          </w:p>
        </w:tc>
      </w:tr>
      <w:tr w:rsidR="007E4402" w14:paraId="0291995A" w14:textId="77777777">
        <w:trPr>
          <w:cantSplit/>
          <w:jc w:val="center"/>
        </w:trPr>
        <w:tc>
          <w:tcPr>
            <w:tcW w:w="2088" w:type="dxa"/>
            <w:shd w:val="clear" w:color="auto" w:fill="F1F5F9"/>
            <w:vAlign w:val="center"/>
          </w:tcPr>
          <w:p w14:paraId="0A241F13" w14:textId="77777777" w:rsidR="007E4402" w:rsidRDefault="00000000">
            <w:pPr>
              <w:spacing w:after="20"/>
              <w:rPr>
                <w:rFonts w:hint="eastAsia"/>
              </w:rPr>
            </w:pPr>
            <w:r>
              <w:rPr>
                <w:sz w:val="16"/>
              </w:rPr>
              <w:t>Host</w:t>
            </w:r>
          </w:p>
        </w:tc>
        <w:tc>
          <w:tcPr>
            <w:tcW w:w="7344" w:type="dxa"/>
            <w:shd w:val="clear" w:color="auto" w:fill="F1F5F9"/>
            <w:vAlign w:val="center"/>
          </w:tcPr>
          <w:p w14:paraId="26C8DB4B" w14:textId="77777777" w:rsidR="007E4402" w:rsidRDefault="00000000">
            <w:pPr>
              <w:spacing w:after="20"/>
              <w:rPr>
                <w:rFonts w:hint="eastAsia"/>
              </w:rPr>
            </w:pPr>
            <w:r>
              <w:rPr>
                <w:sz w:val="16"/>
              </w:rPr>
              <w:t>The direct parent of a node.</w:t>
            </w:r>
          </w:p>
        </w:tc>
      </w:tr>
      <w:tr w:rsidR="007E4402" w14:paraId="683B7E8F" w14:textId="77777777">
        <w:trPr>
          <w:cantSplit/>
          <w:jc w:val="center"/>
        </w:trPr>
        <w:tc>
          <w:tcPr>
            <w:tcW w:w="2088" w:type="dxa"/>
            <w:vAlign w:val="center"/>
          </w:tcPr>
          <w:p w14:paraId="26B4C1A7" w14:textId="77777777" w:rsidR="007E4402" w:rsidRDefault="00000000">
            <w:pPr>
              <w:spacing w:after="20"/>
              <w:rPr>
                <w:rFonts w:hint="eastAsia"/>
              </w:rPr>
            </w:pPr>
            <w:r>
              <w:rPr>
                <w:sz w:val="16"/>
              </w:rPr>
              <w:t>Child</w:t>
            </w:r>
          </w:p>
        </w:tc>
        <w:tc>
          <w:tcPr>
            <w:tcW w:w="7344" w:type="dxa"/>
            <w:vAlign w:val="center"/>
          </w:tcPr>
          <w:p w14:paraId="7F75E0BC" w14:textId="77777777" w:rsidR="007E4402" w:rsidRDefault="00000000">
            <w:pPr>
              <w:spacing w:after="20"/>
              <w:rPr>
                <w:rFonts w:hint="eastAsia"/>
              </w:rPr>
            </w:pPr>
            <w:r>
              <w:rPr>
                <w:sz w:val="16"/>
              </w:rPr>
              <w:t>A node directly hosted by another node.</w:t>
            </w:r>
          </w:p>
        </w:tc>
      </w:tr>
      <w:tr w:rsidR="007E4402" w14:paraId="3B6F1E47" w14:textId="77777777">
        <w:trPr>
          <w:cantSplit/>
          <w:jc w:val="center"/>
        </w:trPr>
        <w:tc>
          <w:tcPr>
            <w:tcW w:w="2088" w:type="dxa"/>
            <w:shd w:val="clear" w:color="auto" w:fill="F1F5F9"/>
            <w:vAlign w:val="center"/>
          </w:tcPr>
          <w:p w14:paraId="4D73344D" w14:textId="77777777" w:rsidR="007E4402" w:rsidRDefault="00000000">
            <w:pPr>
              <w:spacing w:after="20"/>
              <w:rPr>
                <w:rFonts w:hint="eastAsia"/>
              </w:rPr>
            </w:pPr>
            <w:r>
              <w:rPr>
                <w:sz w:val="16"/>
              </w:rPr>
              <w:lastRenderedPageBreak/>
              <w:t>Root</w:t>
            </w:r>
          </w:p>
        </w:tc>
        <w:tc>
          <w:tcPr>
            <w:tcW w:w="7344" w:type="dxa"/>
            <w:shd w:val="clear" w:color="auto" w:fill="F1F5F9"/>
            <w:vAlign w:val="center"/>
          </w:tcPr>
          <w:p w14:paraId="57AA4D94" w14:textId="77777777" w:rsidR="007E4402" w:rsidRDefault="00000000">
            <w:pPr>
              <w:spacing w:after="20"/>
              <w:rPr>
                <w:rFonts w:hint="eastAsia"/>
              </w:rPr>
            </w:pPr>
            <w:r>
              <w:rPr>
                <w:sz w:val="16"/>
              </w:rPr>
              <w:t>The initiating node at the top of a tree; it has no host.</w:t>
            </w:r>
          </w:p>
        </w:tc>
      </w:tr>
      <w:tr w:rsidR="007E4402" w14:paraId="159E66ED" w14:textId="77777777">
        <w:trPr>
          <w:cantSplit/>
          <w:jc w:val="center"/>
        </w:trPr>
        <w:tc>
          <w:tcPr>
            <w:tcW w:w="2088" w:type="dxa"/>
            <w:vAlign w:val="center"/>
          </w:tcPr>
          <w:p w14:paraId="30E958C5" w14:textId="77777777" w:rsidR="007E4402" w:rsidRDefault="00000000">
            <w:pPr>
              <w:spacing w:after="20"/>
              <w:rPr>
                <w:rFonts w:hint="eastAsia"/>
              </w:rPr>
            </w:pPr>
            <w:r>
              <w:rPr>
                <w:sz w:val="16"/>
              </w:rPr>
              <w:t>Tree</w:t>
            </w:r>
          </w:p>
        </w:tc>
        <w:tc>
          <w:tcPr>
            <w:tcW w:w="7344" w:type="dxa"/>
            <w:vAlign w:val="center"/>
          </w:tcPr>
          <w:p w14:paraId="02FF4248" w14:textId="77777777" w:rsidR="007E4402" w:rsidRDefault="00000000">
            <w:pPr>
              <w:spacing w:after="20"/>
              <w:rPr>
                <w:rFonts w:hint="eastAsia"/>
              </w:rPr>
            </w:pPr>
            <w:r>
              <w:rPr>
                <w:sz w:val="16"/>
              </w:rPr>
              <w:t>A hierarchical structure where every non-root node has exactly one host.</w:t>
            </w:r>
          </w:p>
        </w:tc>
      </w:tr>
      <w:tr w:rsidR="007E4402" w14:paraId="663ABCEB" w14:textId="77777777">
        <w:trPr>
          <w:cantSplit/>
          <w:jc w:val="center"/>
        </w:trPr>
        <w:tc>
          <w:tcPr>
            <w:tcW w:w="2088" w:type="dxa"/>
            <w:shd w:val="clear" w:color="auto" w:fill="F1F5F9"/>
            <w:vAlign w:val="center"/>
          </w:tcPr>
          <w:p w14:paraId="78DF505D" w14:textId="77777777" w:rsidR="007E4402" w:rsidRDefault="00000000">
            <w:pPr>
              <w:spacing w:after="20"/>
              <w:rPr>
                <w:rFonts w:hint="eastAsia"/>
              </w:rPr>
            </w:pPr>
            <w:r>
              <w:rPr>
                <w:sz w:val="16"/>
              </w:rPr>
              <w:t>Subtree</w:t>
            </w:r>
          </w:p>
        </w:tc>
        <w:tc>
          <w:tcPr>
            <w:tcW w:w="7344" w:type="dxa"/>
            <w:shd w:val="clear" w:color="auto" w:fill="F1F5F9"/>
            <w:vAlign w:val="center"/>
          </w:tcPr>
          <w:p w14:paraId="2A1AEE75" w14:textId="77777777" w:rsidR="007E4402" w:rsidRDefault="00000000">
            <w:pPr>
              <w:spacing w:after="20"/>
              <w:rPr>
                <w:rFonts w:hint="eastAsia"/>
              </w:rPr>
            </w:pPr>
            <w:r>
              <w:rPr>
                <w:sz w:val="16"/>
              </w:rPr>
              <w:t>A node and all descendants beneath it.</w:t>
            </w:r>
          </w:p>
        </w:tc>
      </w:tr>
      <w:tr w:rsidR="007E4402" w14:paraId="07C58B2F" w14:textId="77777777">
        <w:trPr>
          <w:cantSplit/>
          <w:jc w:val="center"/>
        </w:trPr>
        <w:tc>
          <w:tcPr>
            <w:tcW w:w="2088" w:type="dxa"/>
            <w:vAlign w:val="center"/>
          </w:tcPr>
          <w:p w14:paraId="766E68F9" w14:textId="77777777" w:rsidR="007E4402" w:rsidRDefault="00000000">
            <w:pPr>
              <w:spacing w:after="20"/>
              <w:rPr>
                <w:rFonts w:hint="eastAsia"/>
              </w:rPr>
            </w:pPr>
            <w:r>
              <w:rPr>
                <w:sz w:val="16"/>
              </w:rPr>
              <w:t>Incomer</w:t>
            </w:r>
          </w:p>
        </w:tc>
        <w:tc>
          <w:tcPr>
            <w:tcW w:w="7344" w:type="dxa"/>
            <w:vAlign w:val="center"/>
          </w:tcPr>
          <w:p w14:paraId="04BDFDFD" w14:textId="77777777" w:rsidR="007E4402" w:rsidRDefault="00000000">
            <w:pPr>
              <w:spacing w:after="20"/>
              <w:rPr>
                <w:rFonts w:hint="eastAsia"/>
              </w:rPr>
            </w:pPr>
            <w:r>
              <w:rPr>
                <w:sz w:val="16"/>
              </w:rPr>
              <w:t>A node or orphaned-tree root attempting to join an existing tree.</w:t>
            </w:r>
          </w:p>
        </w:tc>
      </w:tr>
      <w:tr w:rsidR="007E4402" w14:paraId="08B34084" w14:textId="77777777">
        <w:trPr>
          <w:cantSplit/>
          <w:jc w:val="center"/>
        </w:trPr>
        <w:tc>
          <w:tcPr>
            <w:tcW w:w="2088" w:type="dxa"/>
            <w:shd w:val="clear" w:color="auto" w:fill="F1F5F9"/>
            <w:vAlign w:val="center"/>
          </w:tcPr>
          <w:p w14:paraId="40794D5C" w14:textId="77777777" w:rsidR="007E4402" w:rsidRDefault="00000000">
            <w:pPr>
              <w:spacing w:after="20"/>
              <w:rPr>
                <w:rFonts w:hint="eastAsia"/>
              </w:rPr>
            </w:pPr>
            <w:r>
              <w:rPr>
                <w:sz w:val="16"/>
              </w:rPr>
              <w:t>Register/map</w:t>
            </w:r>
          </w:p>
        </w:tc>
        <w:tc>
          <w:tcPr>
            <w:tcW w:w="7344" w:type="dxa"/>
            <w:shd w:val="clear" w:color="auto" w:fill="F1F5F9"/>
            <w:vAlign w:val="center"/>
          </w:tcPr>
          <w:p w14:paraId="0899A09C" w14:textId="77777777" w:rsidR="007E4402" w:rsidRDefault="00000000">
            <w:pPr>
              <w:spacing w:after="20"/>
              <w:rPr>
                <w:rFonts w:hint="eastAsia"/>
              </w:rPr>
            </w:pPr>
            <w:r>
              <w:rPr>
                <w:sz w:val="16"/>
              </w:rPr>
              <w:t>The structural representation of nodes and host–child relationships.</w:t>
            </w:r>
          </w:p>
        </w:tc>
      </w:tr>
      <w:tr w:rsidR="007E4402" w14:paraId="65ECA1CC" w14:textId="77777777">
        <w:trPr>
          <w:cantSplit/>
          <w:jc w:val="center"/>
        </w:trPr>
        <w:tc>
          <w:tcPr>
            <w:tcW w:w="2088" w:type="dxa"/>
            <w:vAlign w:val="center"/>
          </w:tcPr>
          <w:p w14:paraId="5FBEB223" w14:textId="77777777" w:rsidR="007E4402" w:rsidRDefault="00000000">
            <w:pPr>
              <w:spacing w:after="20"/>
              <w:rPr>
                <w:rFonts w:hint="eastAsia"/>
              </w:rPr>
            </w:pPr>
            <w:r>
              <w:rPr>
                <w:sz w:val="16"/>
              </w:rPr>
              <w:t>Initiator</w:t>
            </w:r>
          </w:p>
        </w:tc>
        <w:tc>
          <w:tcPr>
            <w:tcW w:w="7344" w:type="dxa"/>
            <w:vAlign w:val="center"/>
          </w:tcPr>
          <w:p w14:paraId="31C4CCAC" w14:textId="77777777" w:rsidR="007E4402" w:rsidRDefault="00000000">
            <w:pPr>
              <w:spacing w:after="20"/>
              <w:rPr>
                <w:rFonts w:hint="eastAsia"/>
              </w:rPr>
            </w:pPr>
            <w:r>
              <w:rPr>
                <w:sz w:val="16"/>
              </w:rPr>
              <w:t>The node coordinating an admission attempt.</w:t>
            </w:r>
          </w:p>
        </w:tc>
      </w:tr>
      <w:tr w:rsidR="007E4402" w14:paraId="53CFD971" w14:textId="77777777">
        <w:trPr>
          <w:cantSplit/>
          <w:jc w:val="center"/>
        </w:trPr>
        <w:tc>
          <w:tcPr>
            <w:tcW w:w="2088" w:type="dxa"/>
            <w:shd w:val="clear" w:color="auto" w:fill="F1F5F9"/>
            <w:vAlign w:val="center"/>
          </w:tcPr>
          <w:p w14:paraId="4207FB9B" w14:textId="77777777" w:rsidR="007E4402" w:rsidRDefault="00000000">
            <w:pPr>
              <w:spacing w:after="20"/>
              <w:rPr>
                <w:rFonts w:hint="eastAsia"/>
              </w:rPr>
            </w:pPr>
            <w:r>
              <w:rPr>
                <w:sz w:val="16"/>
              </w:rPr>
              <w:t>XMComplete</w:t>
            </w:r>
          </w:p>
        </w:tc>
        <w:tc>
          <w:tcPr>
            <w:tcW w:w="7344" w:type="dxa"/>
            <w:shd w:val="clear" w:color="auto" w:fill="F1F5F9"/>
            <w:vAlign w:val="center"/>
          </w:tcPr>
          <w:p w14:paraId="474C43BF" w14:textId="77777777" w:rsidR="007E4402" w:rsidRDefault="00000000">
            <w:pPr>
              <w:spacing w:after="20"/>
              <w:rPr>
                <w:rFonts w:hint="eastAsia"/>
              </w:rPr>
            </w:pPr>
            <w:r>
              <w:rPr>
                <w:sz w:val="16"/>
              </w:rPr>
              <w:t>The acknowledgment indicating completion of the required admission sequence.</w:t>
            </w:r>
          </w:p>
        </w:tc>
      </w:tr>
      <w:tr w:rsidR="007E4402" w14:paraId="416225AC" w14:textId="77777777">
        <w:trPr>
          <w:cantSplit/>
          <w:jc w:val="center"/>
        </w:trPr>
        <w:tc>
          <w:tcPr>
            <w:tcW w:w="2088" w:type="dxa"/>
            <w:vAlign w:val="center"/>
          </w:tcPr>
          <w:p w14:paraId="67D5A2D5" w14:textId="77777777" w:rsidR="007E4402" w:rsidRDefault="00000000">
            <w:pPr>
              <w:spacing w:after="20"/>
              <w:rPr>
                <w:rFonts w:hint="eastAsia"/>
              </w:rPr>
            </w:pPr>
            <w:r>
              <w:rPr>
                <w:sz w:val="16"/>
              </w:rPr>
              <w:t>Orphaned tree</w:t>
            </w:r>
          </w:p>
        </w:tc>
        <w:tc>
          <w:tcPr>
            <w:tcW w:w="7344" w:type="dxa"/>
            <w:vAlign w:val="center"/>
          </w:tcPr>
          <w:p w14:paraId="09D4BCF8" w14:textId="77777777" w:rsidR="007E4402" w:rsidRDefault="00000000">
            <w:pPr>
              <w:spacing w:after="20"/>
              <w:rPr>
                <w:rFonts w:hint="eastAsia"/>
              </w:rPr>
            </w:pPr>
            <w:r>
              <w:rPr>
                <w:sz w:val="16"/>
              </w:rPr>
              <w:t>A subtree whose former host has failed or become unavailable.</w:t>
            </w:r>
          </w:p>
        </w:tc>
      </w:tr>
    </w:tbl>
    <w:p w14:paraId="6D4C1E6F" w14:textId="77777777" w:rsidR="007E4402" w:rsidRDefault="007E4402">
      <w:pPr>
        <w:spacing w:after="20"/>
        <w:rPr>
          <w:rFonts w:hint="eastAsia"/>
        </w:rPr>
      </w:pPr>
    </w:p>
    <w:p w14:paraId="1C387832" w14:textId="77777777" w:rsidR="007E4402" w:rsidRDefault="00000000">
      <w:pPr>
        <w:pStyle w:val="Heading1"/>
      </w:pPr>
      <w:r>
        <w:t>3. Topology and invariants</w:t>
      </w:r>
    </w:p>
    <w:p w14:paraId="3D67D0FC" w14:textId="77777777" w:rsidR="007E4402" w:rsidRDefault="00000000">
      <w:pPr>
        <w:rPr>
          <w:rFonts w:hint="eastAsia"/>
        </w:rPr>
      </w:pPr>
      <w:r>
        <w:t>A tree consists of a root and zero or more descendant nodes. Every admitted non-root node has exactly one direct host and may have multiple children. Multiple independent trees may exist concurrently.</w:t>
      </w:r>
    </w:p>
    <w:p w14:paraId="52C91D93" w14:textId="77777777" w:rsidR="007E4402" w:rsidRDefault="00000000">
      <w:pPr>
        <w:rPr>
          <w:rFonts w:hint="eastAsia"/>
        </w:rPr>
      </w:pPr>
      <w:r>
        <w:rPr>
          <w:noProof/>
        </w:rPr>
        <w:drawing>
          <wp:inline distT="0" distB="0" distL="0" distR="0" wp14:anchorId="729FC750" wp14:editId="76AE3169">
            <wp:extent cx="5806440" cy="3341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topology.png"/>
                    <pic:cNvPicPr/>
                  </pic:nvPicPr>
                  <pic:blipFill>
                    <a:blip r:embed="rId8"/>
                    <a:stretch>
                      <a:fillRect/>
                    </a:stretch>
                  </pic:blipFill>
                  <pic:spPr>
                    <a:xfrm>
                      <a:off x="0" y="0"/>
                      <a:ext cx="5806440" cy="3341970"/>
                    </a:xfrm>
                    <a:prstGeom prst="rect">
                      <a:avLst/>
                    </a:prstGeom>
                  </pic:spPr>
                </pic:pic>
              </a:graphicData>
            </a:graphic>
          </wp:inline>
        </w:drawing>
      </w:r>
    </w:p>
    <w:p w14:paraId="08807BEE" w14:textId="77777777" w:rsidR="007E4402" w:rsidRDefault="00000000">
      <w:pPr>
        <w:spacing w:after="160"/>
        <w:jc w:val="center"/>
        <w:rPr>
          <w:rFonts w:hint="eastAsia"/>
        </w:rPr>
      </w:pPr>
      <w:r>
        <w:rPr>
          <w:i/>
          <w:color w:val="5F6E7D"/>
          <w:sz w:val="16"/>
        </w:rPr>
        <w:t>Figure 1. Example tree; host labels are illustrative.</w:t>
      </w:r>
    </w:p>
    <w:p w14:paraId="441EFFAD" w14:textId="77777777" w:rsidR="007E4402" w:rsidRDefault="00000000">
      <w:pPr>
        <w:pStyle w:val="Heading2"/>
      </w:pPr>
      <w:r>
        <w:t>3.1 Root determination</w:t>
      </w:r>
    </w:p>
    <w:p w14:paraId="74435BBF" w14:textId="77777777" w:rsidR="007E4402" w:rsidRDefault="00000000">
      <w:pPr>
        <w:rPr>
          <w:rFonts w:hint="eastAsia"/>
        </w:rPr>
      </w:pPr>
      <w:r>
        <w:t>There is no permanent device role that inherently determines the root. The node that initiates first becomes the root of its tree. An orphaned subtree may have its own root while seeking admission into a surviving tree.</w:t>
      </w:r>
    </w:p>
    <w:p w14:paraId="5723AEAA" w14:textId="77777777" w:rsidR="007E4402" w:rsidRDefault="00000000">
      <w:pPr>
        <w:pStyle w:val="Heading2"/>
      </w:pPr>
      <w:r>
        <w:t>3.2 Topology invariants</w:t>
      </w:r>
    </w:p>
    <w:p w14:paraId="0EF08867" w14:textId="77777777" w:rsidR="007E4402" w:rsidRDefault="00000000">
      <w:pPr>
        <w:pStyle w:val="ListBullet"/>
        <w:spacing w:after="40"/>
        <w:rPr>
          <w:rFonts w:hint="eastAsia"/>
        </w:rPr>
      </w:pPr>
      <w:r>
        <w:t>Every admitted non-root node has exactly one host.</w:t>
      </w:r>
    </w:p>
    <w:p w14:paraId="3CAD8653" w14:textId="77777777" w:rsidR="007E4402" w:rsidRDefault="00000000">
      <w:pPr>
        <w:pStyle w:val="ListBullet"/>
        <w:spacing w:after="40"/>
        <w:rPr>
          <w:rFonts w:hint="eastAsia"/>
        </w:rPr>
      </w:pPr>
      <w:r>
        <w:t>A node may host multiple children.</w:t>
      </w:r>
    </w:p>
    <w:p w14:paraId="6806ECC0" w14:textId="77777777" w:rsidR="007E4402" w:rsidRDefault="00000000">
      <w:pPr>
        <w:pStyle w:val="ListBullet"/>
        <w:spacing w:after="40"/>
        <w:rPr>
          <w:rFonts w:hint="eastAsia"/>
        </w:rPr>
      </w:pPr>
      <w:r>
        <w:t>A node cannot simultaneously belong to two committed parent relationships.</w:t>
      </w:r>
    </w:p>
    <w:p w14:paraId="6CB57057" w14:textId="77777777" w:rsidR="007E4402" w:rsidRDefault="00000000">
      <w:pPr>
        <w:pStyle w:val="ListBullet"/>
        <w:spacing w:after="40"/>
        <w:rPr>
          <w:rFonts w:hint="eastAsia"/>
        </w:rPr>
      </w:pPr>
      <w:r>
        <w:t>The committed structure must not contain mesh links or cycles.</w:t>
      </w:r>
    </w:p>
    <w:p w14:paraId="07A3BDB5" w14:textId="77777777" w:rsidR="007E4402" w:rsidRDefault="00000000">
      <w:pPr>
        <w:pStyle w:val="Heading1"/>
      </w:pPr>
      <w:r>
        <w:lastRenderedPageBreak/>
        <w:t>4. Subtree authority and register/map</w:t>
      </w:r>
    </w:p>
    <w:p w14:paraId="2FB18539" w14:textId="77777777" w:rsidR="007E4402" w:rsidRDefault="00000000">
      <w:pPr>
        <w:pStyle w:val="Heading2"/>
      </w:pPr>
      <w:r>
        <w:t>4.1 Exclusive subtree authority</w:t>
      </w:r>
    </w:p>
    <w:p w14:paraId="4850A596" w14:textId="77777777" w:rsidR="007E4402" w:rsidRDefault="00000000">
      <w:pPr>
        <w:rPr>
          <w:rFonts w:hint="eastAsia"/>
        </w:rPr>
      </w:pPr>
      <w:r>
        <w:t>Each node is authorized to modify the portion of the register/map corresponding to the subtree it hosts. An ancestor may not arbitrarily overwrite a descendant's exclusively controlled subtree.</w:t>
      </w:r>
    </w:p>
    <w:p w14:paraId="58ED4914" w14:textId="77777777" w:rsidR="007E4402" w:rsidRDefault="00000000">
      <w:pPr>
        <w:rPr>
          <w:rFonts w:hint="eastAsia"/>
        </w:rPr>
      </w:pPr>
      <w:r>
        <w:t>For example, in 1{2{3,4,5{6,7}}}, node 5 controls the subtree containing nodes 6 and 7. Node 2 cannot directly replace that subtree's contents merely because it is an ancestor.</w:t>
      </w:r>
    </w:p>
    <w:p w14:paraId="22195916" w14:textId="77777777" w:rsidR="007E4402" w:rsidRDefault="00000000">
      <w:pPr>
        <w:pStyle w:val="Heading2"/>
      </w:pPr>
      <w:r>
        <w:t>4.2 Structural change propagation</w:t>
      </w:r>
    </w:p>
    <w:p w14:paraId="417B6C25" w14:textId="77777777" w:rsidR="007E4402" w:rsidRDefault="00000000">
      <w:pPr>
        <w:rPr>
          <w:rFonts w:hint="eastAsia"/>
        </w:rPr>
      </w:pPr>
      <w:r>
        <w:t>A valid structural change is propagated through the tree as required. Forwarding or incorporating a change does not grant an intermediate node ownership of the originating subtree.</w:t>
      </w:r>
    </w:p>
    <w:p w14:paraId="36F0A866" w14:textId="77777777" w:rsidR="007E4402" w:rsidRDefault="00000000">
      <w:pPr>
        <w:pStyle w:val="Heading2"/>
      </w:pPr>
      <w:r>
        <w:t>4.3 Complete-map synchronization</w:t>
      </w:r>
    </w:p>
    <w:tbl>
      <w:tblPr>
        <w:tblW w:w="0" w:type="auto"/>
        <w:jc w:val="center"/>
        <w:tblLook w:val="04A0" w:firstRow="1" w:lastRow="0" w:firstColumn="1" w:lastColumn="0" w:noHBand="0" w:noVBand="1"/>
      </w:tblPr>
      <w:tblGrid>
        <w:gridCol w:w="9878"/>
      </w:tblGrid>
      <w:tr w:rsidR="007E4402" w14:paraId="6E8A6544" w14:textId="77777777">
        <w:trPr>
          <w:cantSplit/>
          <w:jc w:val="center"/>
        </w:trPr>
        <w:tc>
          <w:tcPr>
            <w:tcW w:w="9878" w:type="dxa"/>
            <w:shd w:val="clear" w:color="auto" w:fill="EAF2FB"/>
          </w:tcPr>
          <w:p w14:paraId="49792C8B" w14:textId="77777777" w:rsidR="007E4402" w:rsidRDefault="00000000">
            <w:pPr>
              <w:spacing w:after="60"/>
              <w:rPr>
                <w:rFonts w:hint="eastAsia"/>
              </w:rPr>
            </w:pPr>
            <w:r>
              <w:rPr>
                <w:b/>
                <w:color w:val="17365D"/>
                <w:sz w:val="20"/>
              </w:rPr>
              <w:t>Key operating rule</w:t>
            </w:r>
          </w:p>
          <w:p w14:paraId="48AEA205" w14:textId="77777777" w:rsidR="007E4402" w:rsidRDefault="00000000">
            <w:pPr>
              <w:spacing w:after="60"/>
              <w:rPr>
                <w:rFonts w:hint="eastAsia"/>
              </w:rPr>
            </w:pPr>
            <w:r>
              <w:rPr>
                <w:sz w:val="18"/>
              </w:rPr>
              <w:t>The complete register/map is transferred during admission. After admission completes, normal-operation control traffic consists only of alive pings and their corresponding pongs. There is no recurring complete-map redistribution during steady state.</w:t>
            </w:r>
          </w:p>
        </w:tc>
      </w:tr>
    </w:tbl>
    <w:p w14:paraId="4E5BDE88" w14:textId="77777777" w:rsidR="007E4402" w:rsidRDefault="007E4402">
      <w:pPr>
        <w:spacing w:after="20"/>
        <w:rPr>
          <w:rFonts w:hint="eastAsia"/>
        </w:rPr>
      </w:pPr>
    </w:p>
    <w:p w14:paraId="3574F8EC" w14:textId="77777777" w:rsidR="007E4402" w:rsidRDefault="00000000">
      <w:pPr>
        <w:rPr>
          <w:rFonts w:hint="eastAsia"/>
        </w:rPr>
      </w:pPr>
      <w:r>
        <w:t>The complete-map transfer is therefore a temporary admission/recovery cost rather than a recurring steady-state cost.</w:t>
      </w:r>
    </w:p>
    <w:p w14:paraId="637E56B1" w14:textId="77777777" w:rsidR="007E4402" w:rsidRDefault="00000000">
      <w:pPr>
        <w:pStyle w:val="Heading1"/>
      </w:pPr>
      <w:r>
        <w:t>5. Host compatibility and tie-break</w:t>
      </w:r>
    </w:p>
    <w:p w14:paraId="00D09FCB" w14:textId="77777777" w:rsidR="007E4402" w:rsidRDefault="00000000">
      <w:pPr>
        <w:pStyle w:val="Heading2"/>
      </w:pPr>
      <w:r>
        <w:t>5.1 Compatibility parameters</w:t>
      </w:r>
    </w:p>
    <w:tbl>
      <w:tblPr>
        <w:tblStyle w:val="TableGrid"/>
        <w:tblW w:w="0" w:type="auto"/>
        <w:jc w:val="center"/>
        <w:tblLook w:val="04A0" w:firstRow="1" w:lastRow="0" w:firstColumn="1" w:lastColumn="0" w:noHBand="0" w:noVBand="1"/>
      </w:tblPr>
      <w:tblGrid>
        <w:gridCol w:w="2880"/>
        <w:gridCol w:w="6552"/>
      </w:tblGrid>
      <w:tr w:rsidR="007E4402" w14:paraId="2607623B" w14:textId="77777777">
        <w:trPr>
          <w:cantSplit/>
          <w:jc w:val="center"/>
        </w:trPr>
        <w:tc>
          <w:tcPr>
            <w:tcW w:w="2880" w:type="dxa"/>
            <w:shd w:val="clear" w:color="auto" w:fill="17365D"/>
            <w:vAlign w:val="center"/>
          </w:tcPr>
          <w:p w14:paraId="5E8ED9E7" w14:textId="77777777" w:rsidR="007E4402" w:rsidRDefault="00000000">
            <w:pPr>
              <w:spacing w:after="20"/>
              <w:rPr>
                <w:rFonts w:hint="eastAsia"/>
              </w:rPr>
            </w:pPr>
            <w:r>
              <w:rPr>
                <w:b/>
                <w:color w:val="FFFFFF"/>
                <w:sz w:val="17"/>
              </w:rPr>
              <w:t>Parameter</w:t>
            </w:r>
          </w:p>
        </w:tc>
        <w:tc>
          <w:tcPr>
            <w:tcW w:w="6552" w:type="dxa"/>
            <w:shd w:val="clear" w:color="auto" w:fill="17365D"/>
            <w:vAlign w:val="center"/>
          </w:tcPr>
          <w:p w14:paraId="294A64BD" w14:textId="77777777" w:rsidR="007E4402" w:rsidRDefault="00000000">
            <w:pPr>
              <w:spacing w:after="20"/>
              <w:rPr>
                <w:rFonts w:hint="eastAsia"/>
              </w:rPr>
            </w:pPr>
            <w:r>
              <w:rPr>
                <w:b/>
                <w:color w:val="FFFFFF"/>
                <w:sz w:val="17"/>
              </w:rPr>
              <w:t>Evaluation dimension</w:t>
            </w:r>
          </w:p>
        </w:tc>
      </w:tr>
      <w:tr w:rsidR="007E4402" w14:paraId="25C82C2F" w14:textId="77777777">
        <w:trPr>
          <w:cantSplit/>
          <w:jc w:val="center"/>
        </w:trPr>
        <w:tc>
          <w:tcPr>
            <w:tcW w:w="2880" w:type="dxa"/>
            <w:vAlign w:val="center"/>
          </w:tcPr>
          <w:p w14:paraId="0450346C" w14:textId="77777777" w:rsidR="007E4402" w:rsidRDefault="00000000">
            <w:pPr>
              <w:spacing w:after="20"/>
              <w:rPr>
                <w:rFonts w:hint="eastAsia"/>
              </w:rPr>
            </w:pPr>
            <w:r>
              <w:rPr>
                <w:sz w:val="16"/>
              </w:rPr>
              <w:t>Subtree depth</w:t>
            </w:r>
          </w:p>
        </w:tc>
        <w:tc>
          <w:tcPr>
            <w:tcW w:w="6552" w:type="dxa"/>
            <w:vAlign w:val="center"/>
          </w:tcPr>
          <w:p w14:paraId="13F7D58D" w14:textId="77777777" w:rsidR="007E4402" w:rsidRDefault="00000000">
            <w:pPr>
              <w:spacing w:after="20"/>
              <w:rPr>
                <w:rFonts w:hint="eastAsia"/>
              </w:rPr>
            </w:pPr>
            <w:r>
              <w:rPr>
                <w:sz w:val="16"/>
              </w:rPr>
              <w:t>Depth of the candidate host's subtree.</w:t>
            </w:r>
          </w:p>
        </w:tc>
      </w:tr>
      <w:tr w:rsidR="007E4402" w14:paraId="00B75659" w14:textId="77777777">
        <w:trPr>
          <w:cantSplit/>
          <w:jc w:val="center"/>
        </w:trPr>
        <w:tc>
          <w:tcPr>
            <w:tcW w:w="2880" w:type="dxa"/>
            <w:shd w:val="clear" w:color="auto" w:fill="F1F5F9"/>
            <w:vAlign w:val="center"/>
          </w:tcPr>
          <w:p w14:paraId="0B53D621" w14:textId="77777777" w:rsidR="007E4402" w:rsidRDefault="00000000">
            <w:pPr>
              <w:spacing w:after="20"/>
              <w:rPr>
                <w:rFonts w:hint="eastAsia"/>
              </w:rPr>
            </w:pPr>
            <w:r>
              <w:rPr>
                <w:sz w:val="16"/>
              </w:rPr>
              <w:t>Total subtree node count</w:t>
            </w:r>
          </w:p>
        </w:tc>
        <w:tc>
          <w:tcPr>
            <w:tcW w:w="6552" w:type="dxa"/>
            <w:shd w:val="clear" w:color="auto" w:fill="F1F5F9"/>
            <w:vAlign w:val="center"/>
          </w:tcPr>
          <w:p w14:paraId="2A4A554E" w14:textId="77777777" w:rsidR="007E4402" w:rsidRDefault="00000000">
            <w:pPr>
              <w:spacing w:after="20"/>
              <w:rPr>
                <w:rFonts w:hint="eastAsia"/>
              </w:rPr>
            </w:pPr>
            <w:r>
              <w:rPr>
                <w:sz w:val="16"/>
              </w:rPr>
              <w:t>Number of nodes in that subtree.</w:t>
            </w:r>
          </w:p>
        </w:tc>
      </w:tr>
      <w:tr w:rsidR="007E4402" w14:paraId="02B56E9E" w14:textId="77777777">
        <w:trPr>
          <w:cantSplit/>
          <w:jc w:val="center"/>
        </w:trPr>
        <w:tc>
          <w:tcPr>
            <w:tcW w:w="2880" w:type="dxa"/>
            <w:vAlign w:val="center"/>
          </w:tcPr>
          <w:p w14:paraId="147852FA" w14:textId="77777777" w:rsidR="007E4402" w:rsidRDefault="00000000">
            <w:pPr>
              <w:spacing w:after="20"/>
              <w:rPr>
                <w:rFonts w:hint="eastAsia"/>
              </w:rPr>
            </w:pPr>
            <w:r>
              <w:rPr>
                <w:sz w:val="16"/>
              </w:rPr>
              <w:t>RSSI</w:t>
            </w:r>
          </w:p>
        </w:tc>
        <w:tc>
          <w:tcPr>
            <w:tcW w:w="6552" w:type="dxa"/>
            <w:vAlign w:val="center"/>
          </w:tcPr>
          <w:p w14:paraId="6713EE9A" w14:textId="77777777" w:rsidR="007E4402" w:rsidRDefault="00000000">
            <w:pPr>
              <w:spacing w:after="20"/>
              <w:rPr>
                <w:rFonts w:hint="eastAsia"/>
              </w:rPr>
            </w:pPr>
            <w:r>
              <w:rPr>
                <w:sz w:val="16"/>
              </w:rPr>
              <w:t>Received signal strength relevant to the candidate/host relationship.</w:t>
            </w:r>
          </w:p>
        </w:tc>
      </w:tr>
      <w:tr w:rsidR="007E4402" w14:paraId="29C85DE0" w14:textId="77777777">
        <w:trPr>
          <w:cantSplit/>
          <w:jc w:val="center"/>
        </w:trPr>
        <w:tc>
          <w:tcPr>
            <w:tcW w:w="2880" w:type="dxa"/>
            <w:shd w:val="clear" w:color="auto" w:fill="F1F5F9"/>
            <w:vAlign w:val="center"/>
          </w:tcPr>
          <w:p w14:paraId="056144F8" w14:textId="77777777" w:rsidR="007E4402" w:rsidRDefault="00000000">
            <w:pPr>
              <w:spacing w:after="20"/>
              <w:rPr>
                <w:rFonts w:hint="eastAsia"/>
              </w:rPr>
            </w:pPr>
            <w:r>
              <w:rPr>
                <w:sz w:val="16"/>
              </w:rPr>
              <w:t>Bandwidth</w:t>
            </w:r>
          </w:p>
        </w:tc>
        <w:tc>
          <w:tcPr>
            <w:tcW w:w="6552" w:type="dxa"/>
            <w:shd w:val="clear" w:color="auto" w:fill="F1F5F9"/>
            <w:vAlign w:val="center"/>
          </w:tcPr>
          <w:p w14:paraId="7F9F9FF4" w14:textId="77777777" w:rsidR="007E4402" w:rsidRDefault="00000000">
            <w:pPr>
              <w:spacing w:after="20"/>
              <w:rPr>
                <w:rFonts w:hint="eastAsia"/>
              </w:rPr>
            </w:pPr>
            <w:r>
              <w:rPr>
                <w:sz w:val="16"/>
              </w:rPr>
              <w:t>Available or relevant communication capacity.</w:t>
            </w:r>
          </w:p>
        </w:tc>
      </w:tr>
      <w:tr w:rsidR="007E4402" w14:paraId="12141226" w14:textId="77777777">
        <w:trPr>
          <w:cantSplit/>
          <w:jc w:val="center"/>
        </w:trPr>
        <w:tc>
          <w:tcPr>
            <w:tcW w:w="2880" w:type="dxa"/>
            <w:vAlign w:val="center"/>
          </w:tcPr>
          <w:p w14:paraId="06C629E1" w14:textId="77777777" w:rsidR="007E4402" w:rsidRDefault="00000000">
            <w:pPr>
              <w:spacing w:after="20"/>
              <w:rPr>
                <w:rFonts w:hint="eastAsia"/>
              </w:rPr>
            </w:pPr>
            <w:r>
              <w:rPr>
                <w:sz w:val="16"/>
              </w:rPr>
              <w:t>Power</w:t>
            </w:r>
          </w:p>
        </w:tc>
        <w:tc>
          <w:tcPr>
            <w:tcW w:w="6552" w:type="dxa"/>
            <w:vAlign w:val="center"/>
          </w:tcPr>
          <w:p w14:paraId="7B41457F" w14:textId="77777777" w:rsidR="007E4402" w:rsidRDefault="00000000">
            <w:pPr>
              <w:spacing w:after="20"/>
              <w:rPr>
                <w:rFonts w:hint="eastAsia"/>
              </w:rPr>
            </w:pPr>
            <w:r>
              <w:rPr>
                <w:sz w:val="16"/>
              </w:rPr>
              <w:t>The power-related compatibility measure defined by the architecture.</w:t>
            </w:r>
          </w:p>
        </w:tc>
      </w:tr>
    </w:tbl>
    <w:p w14:paraId="2708FCC5" w14:textId="77777777" w:rsidR="007E4402" w:rsidRDefault="007E4402">
      <w:pPr>
        <w:spacing w:after="20"/>
        <w:rPr>
          <w:rFonts w:hint="eastAsia"/>
        </w:rPr>
      </w:pPr>
    </w:p>
    <w:p w14:paraId="1ED5D78D" w14:textId="77777777" w:rsidR="007E4402" w:rsidRDefault="00000000">
      <w:pPr>
        <w:rPr>
          <w:rFonts w:hint="eastAsia"/>
        </w:rPr>
      </w:pPr>
      <w:r>
        <w:t>Each parameter contributes according to its assigned weight and evaluation rule. Numerical weights, normalization, and preference directions must be supplied by the implementation specification; they are not invented here.</w:t>
      </w:r>
    </w:p>
    <w:p w14:paraId="0CBB08BA" w14:textId="77777777" w:rsidR="007E4402" w:rsidRDefault="00000000">
      <w:pPr>
        <w:pStyle w:val="Heading2"/>
      </w:pPr>
      <w:r>
        <w:t>5.2 Absolute-tie resolution</w:t>
      </w:r>
    </w:p>
    <w:p w14:paraId="7E4A8C80" w14:textId="77777777" w:rsidR="007E4402" w:rsidRDefault="00000000">
      <w:pPr>
        <w:rPr>
          <w:rFonts w:hint="eastAsia"/>
        </w:rPr>
      </w:pPr>
      <w:r>
        <w:t>If the weighted compatibility scores are equal, compare the competing hosts' complete 48-bit MAC addresses as hexadecimal integers. The protocol must define one consistent direction: select either the numerically lower or numerically higher address.</w:t>
      </w:r>
    </w:p>
    <w:tbl>
      <w:tblPr>
        <w:tblStyle w:val="TableGrid"/>
        <w:tblW w:w="0" w:type="auto"/>
        <w:jc w:val="center"/>
        <w:tblLook w:val="04A0" w:firstRow="1" w:lastRow="0" w:firstColumn="1" w:lastColumn="0" w:noHBand="0" w:noVBand="1"/>
      </w:tblPr>
      <w:tblGrid>
        <w:gridCol w:w="1008"/>
        <w:gridCol w:w="3168"/>
        <w:gridCol w:w="5256"/>
      </w:tblGrid>
      <w:tr w:rsidR="007E4402" w14:paraId="30CF065D" w14:textId="77777777">
        <w:trPr>
          <w:cantSplit/>
          <w:jc w:val="center"/>
        </w:trPr>
        <w:tc>
          <w:tcPr>
            <w:tcW w:w="1008" w:type="dxa"/>
            <w:shd w:val="clear" w:color="auto" w:fill="17365D"/>
            <w:vAlign w:val="center"/>
          </w:tcPr>
          <w:p w14:paraId="0CFD0EE7" w14:textId="77777777" w:rsidR="007E4402" w:rsidRDefault="00000000">
            <w:pPr>
              <w:spacing w:after="20"/>
              <w:rPr>
                <w:rFonts w:hint="eastAsia"/>
              </w:rPr>
            </w:pPr>
            <w:r>
              <w:rPr>
                <w:b/>
                <w:color w:val="FFFFFF"/>
                <w:sz w:val="17"/>
              </w:rPr>
              <w:t>Host</w:t>
            </w:r>
          </w:p>
        </w:tc>
        <w:tc>
          <w:tcPr>
            <w:tcW w:w="3168" w:type="dxa"/>
            <w:shd w:val="clear" w:color="auto" w:fill="17365D"/>
            <w:vAlign w:val="center"/>
          </w:tcPr>
          <w:p w14:paraId="633165E5" w14:textId="77777777" w:rsidR="007E4402" w:rsidRDefault="00000000">
            <w:pPr>
              <w:spacing w:after="20"/>
              <w:rPr>
                <w:rFonts w:hint="eastAsia"/>
              </w:rPr>
            </w:pPr>
            <w:r>
              <w:rPr>
                <w:b/>
                <w:color w:val="FFFFFF"/>
                <w:sz w:val="17"/>
              </w:rPr>
              <w:t>MAC address</w:t>
            </w:r>
          </w:p>
        </w:tc>
        <w:tc>
          <w:tcPr>
            <w:tcW w:w="5256" w:type="dxa"/>
            <w:shd w:val="clear" w:color="auto" w:fill="17365D"/>
            <w:vAlign w:val="center"/>
          </w:tcPr>
          <w:p w14:paraId="791EE1F2" w14:textId="77777777" w:rsidR="007E4402" w:rsidRDefault="00000000">
            <w:pPr>
              <w:spacing w:after="20"/>
              <w:rPr>
                <w:rFonts w:hint="eastAsia"/>
              </w:rPr>
            </w:pPr>
            <w:r>
              <w:rPr>
                <w:b/>
                <w:color w:val="FFFFFF"/>
                <w:sz w:val="17"/>
              </w:rPr>
              <w:t>Numerical representation</w:t>
            </w:r>
          </w:p>
        </w:tc>
      </w:tr>
      <w:tr w:rsidR="007E4402" w14:paraId="18CE7E3A" w14:textId="77777777">
        <w:trPr>
          <w:cantSplit/>
          <w:jc w:val="center"/>
        </w:trPr>
        <w:tc>
          <w:tcPr>
            <w:tcW w:w="1008" w:type="dxa"/>
            <w:vAlign w:val="center"/>
          </w:tcPr>
          <w:p w14:paraId="1133E498" w14:textId="77777777" w:rsidR="007E4402" w:rsidRDefault="00000000">
            <w:pPr>
              <w:spacing w:after="20"/>
              <w:rPr>
                <w:rFonts w:hint="eastAsia"/>
              </w:rPr>
            </w:pPr>
            <w:r>
              <w:rPr>
                <w:sz w:val="16"/>
              </w:rPr>
              <w:t>A</w:t>
            </w:r>
          </w:p>
        </w:tc>
        <w:tc>
          <w:tcPr>
            <w:tcW w:w="3168" w:type="dxa"/>
            <w:vAlign w:val="center"/>
          </w:tcPr>
          <w:p w14:paraId="0ED567A6" w14:textId="77777777" w:rsidR="007E4402" w:rsidRDefault="00000000">
            <w:pPr>
              <w:spacing w:after="20"/>
              <w:rPr>
                <w:rFonts w:hint="eastAsia"/>
              </w:rPr>
            </w:pPr>
            <w:r>
              <w:rPr>
                <w:sz w:val="16"/>
              </w:rPr>
              <w:t>24:6F:28:AB:CD:10</w:t>
            </w:r>
          </w:p>
        </w:tc>
        <w:tc>
          <w:tcPr>
            <w:tcW w:w="5256" w:type="dxa"/>
            <w:vAlign w:val="center"/>
          </w:tcPr>
          <w:p w14:paraId="2BF60946" w14:textId="77777777" w:rsidR="007E4402" w:rsidRDefault="00000000">
            <w:pPr>
              <w:spacing w:after="20"/>
              <w:rPr>
                <w:rFonts w:hint="eastAsia"/>
              </w:rPr>
            </w:pPr>
            <w:r>
              <w:rPr>
                <w:sz w:val="16"/>
              </w:rPr>
              <w:t>0x246F28ABCD10</w:t>
            </w:r>
          </w:p>
        </w:tc>
      </w:tr>
      <w:tr w:rsidR="007E4402" w14:paraId="43104B10" w14:textId="77777777">
        <w:trPr>
          <w:cantSplit/>
          <w:jc w:val="center"/>
        </w:trPr>
        <w:tc>
          <w:tcPr>
            <w:tcW w:w="1008" w:type="dxa"/>
            <w:shd w:val="clear" w:color="auto" w:fill="F1F5F9"/>
            <w:vAlign w:val="center"/>
          </w:tcPr>
          <w:p w14:paraId="44CD2899" w14:textId="77777777" w:rsidR="007E4402" w:rsidRDefault="00000000">
            <w:pPr>
              <w:spacing w:after="20"/>
              <w:rPr>
                <w:rFonts w:hint="eastAsia"/>
              </w:rPr>
            </w:pPr>
            <w:r>
              <w:rPr>
                <w:sz w:val="16"/>
              </w:rPr>
              <w:t>B</w:t>
            </w:r>
          </w:p>
        </w:tc>
        <w:tc>
          <w:tcPr>
            <w:tcW w:w="3168" w:type="dxa"/>
            <w:shd w:val="clear" w:color="auto" w:fill="F1F5F9"/>
            <w:vAlign w:val="center"/>
          </w:tcPr>
          <w:p w14:paraId="0D9B51E6" w14:textId="77777777" w:rsidR="007E4402" w:rsidRDefault="00000000">
            <w:pPr>
              <w:spacing w:after="20"/>
              <w:rPr>
                <w:rFonts w:hint="eastAsia"/>
              </w:rPr>
            </w:pPr>
            <w:r>
              <w:rPr>
                <w:sz w:val="16"/>
              </w:rPr>
              <w:t>30:AE:A4:12:34:56</w:t>
            </w:r>
          </w:p>
        </w:tc>
        <w:tc>
          <w:tcPr>
            <w:tcW w:w="5256" w:type="dxa"/>
            <w:shd w:val="clear" w:color="auto" w:fill="F1F5F9"/>
            <w:vAlign w:val="center"/>
          </w:tcPr>
          <w:p w14:paraId="1AA18FA4" w14:textId="77777777" w:rsidR="007E4402" w:rsidRDefault="00000000">
            <w:pPr>
              <w:spacing w:after="20"/>
              <w:rPr>
                <w:rFonts w:hint="eastAsia"/>
              </w:rPr>
            </w:pPr>
            <w:r>
              <w:rPr>
                <w:sz w:val="16"/>
              </w:rPr>
              <w:t>0x30AEA4123456</w:t>
            </w:r>
          </w:p>
        </w:tc>
      </w:tr>
    </w:tbl>
    <w:p w14:paraId="631C7F66" w14:textId="77777777" w:rsidR="007E4402" w:rsidRDefault="007E4402">
      <w:pPr>
        <w:spacing w:after="20"/>
        <w:rPr>
          <w:rFonts w:hint="eastAsia"/>
        </w:rPr>
      </w:pPr>
    </w:p>
    <w:p w14:paraId="57505D0C" w14:textId="77777777" w:rsidR="007E4402" w:rsidRDefault="00000000">
      <w:pPr>
        <w:rPr>
          <w:rFonts w:hint="eastAsia"/>
        </w:rPr>
      </w:pPr>
      <w:r>
        <w:t>Assuming MAC addresses are unique within the network, numerical ordering yields a deterministic winner. The MAC comparison is a final tie-breaker and does not replace the five weighted parameters.</w:t>
      </w:r>
    </w:p>
    <w:p w14:paraId="410E6BE7" w14:textId="77777777" w:rsidR="007E4402" w:rsidRDefault="00000000">
      <w:pPr>
        <w:pStyle w:val="Heading1"/>
      </w:pPr>
      <w:r>
        <w:lastRenderedPageBreak/>
        <w:t>6. Admission protocol</w:t>
      </w:r>
    </w:p>
    <w:p w14:paraId="614E4EE3" w14:textId="77777777" w:rsidR="007E4402" w:rsidRDefault="00000000">
      <w:pPr>
        <w:rPr>
          <w:rFonts w:hint="eastAsia"/>
        </w:rPr>
      </w:pPr>
      <w:r>
        <w:t>Admission coordinates host selection, acknowledgment, and structural synchronization. The incoming node must not begin ordinary data exchange before admission completion.</w:t>
      </w:r>
    </w:p>
    <w:p w14:paraId="14354FBB" w14:textId="77777777" w:rsidR="007E4402" w:rsidRDefault="00000000">
      <w:pPr>
        <w:rPr>
          <w:rFonts w:hint="eastAsia"/>
        </w:rPr>
      </w:pPr>
      <w:r>
        <w:rPr>
          <w:noProof/>
        </w:rPr>
        <w:drawing>
          <wp:inline distT="0" distB="0" distL="0" distR="0" wp14:anchorId="13AA7D5D" wp14:editId="0E9801C6">
            <wp:extent cx="5897880" cy="3635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ssion_sequence.png"/>
                    <pic:cNvPicPr/>
                  </pic:nvPicPr>
                  <pic:blipFill>
                    <a:blip r:embed="rId9"/>
                    <a:stretch>
                      <a:fillRect/>
                    </a:stretch>
                  </pic:blipFill>
                  <pic:spPr>
                    <a:xfrm>
                      <a:off x="0" y="0"/>
                      <a:ext cx="5897880" cy="3635717"/>
                    </a:xfrm>
                    <a:prstGeom prst="rect">
                      <a:avLst/>
                    </a:prstGeom>
                  </pic:spPr>
                </pic:pic>
              </a:graphicData>
            </a:graphic>
          </wp:inline>
        </w:drawing>
      </w:r>
    </w:p>
    <w:p w14:paraId="5C4076AC" w14:textId="77777777" w:rsidR="007E4402" w:rsidRDefault="00000000">
      <w:pPr>
        <w:spacing w:after="160"/>
        <w:jc w:val="center"/>
        <w:rPr>
          <w:rFonts w:hint="eastAsia"/>
        </w:rPr>
      </w:pPr>
      <w:r>
        <w:rPr>
          <w:i/>
          <w:color w:val="5F6E7D"/>
          <w:sz w:val="16"/>
        </w:rPr>
        <w:t>Figure 2. Conceptual admission message flow. Exact message fields and ordering should be finalized in the wire-protocol specification.</w:t>
      </w:r>
    </w:p>
    <w:p w14:paraId="3015981A" w14:textId="77777777" w:rsidR="007E4402" w:rsidRDefault="00000000">
      <w:pPr>
        <w:pStyle w:val="Heading2"/>
      </w:pPr>
      <w:r>
        <w:t>6.1 Initiation and host competition</w:t>
      </w:r>
    </w:p>
    <w:p w14:paraId="4778DB56" w14:textId="77777777" w:rsidR="007E4402" w:rsidRDefault="00000000">
      <w:pPr>
        <w:rPr>
          <w:rFonts w:hint="eastAsia"/>
        </w:rPr>
      </w:pPr>
      <w:r>
        <w:t>A seed node or existing tree node may initiate admission. Multiple hosts may evaluate the same incomer concurrently. Each host evaluates compatibility against its subtree characteristics and relevant resources using the five parameters.</w:t>
      </w:r>
    </w:p>
    <w:p w14:paraId="02834D6F" w14:textId="77777777" w:rsidR="007E4402" w:rsidRDefault="00000000">
      <w:pPr>
        <w:pStyle w:val="Heading2"/>
      </w:pPr>
      <w:r>
        <w:t>6.2 Register/map update acknowledgment request</w:t>
      </w:r>
    </w:p>
    <w:p w14:paraId="023E50FA" w14:textId="77777777" w:rsidR="007E4402" w:rsidRDefault="00000000">
      <w:pPr>
        <w:rPr>
          <w:rFonts w:hint="eastAsia"/>
        </w:rPr>
      </w:pPr>
      <w:r>
        <w:t>The initiator sends the register/map update acknowledgment request as part of admission. The recipient evaluates the request against its current register/map, authority boundaries, and compatibility rules. If the incomer already appears in the register/map, that existing entry is relevant to the evaluation.</w:t>
      </w:r>
    </w:p>
    <w:p w14:paraId="2BB53C66" w14:textId="77777777" w:rsidR="007E4402" w:rsidRDefault="00000000">
      <w:pPr>
        <w:pStyle w:val="Heading2"/>
      </w:pPr>
      <w:r>
        <w:t>6.3 Acknowledgment handling</w:t>
      </w:r>
    </w:p>
    <w:p w14:paraId="62DADAA8" w14:textId="77777777" w:rsidR="007E4402" w:rsidRDefault="00000000">
      <w:pPr>
        <w:pStyle w:val="ListBullet"/>
        <w:spacing w:after="40"/>
        <w:rPr>
          <w:rFonts w:hint="eastAsia"/>
        </w:rPr>
      </w:pPr>
      <w:r>
        <w:t>If an acknowledgment has already been served, the completed action is not repeated; the initiator withdraws its competing request.</w:t>
      </w:r>
    </w:p>
    <w:p w14:paraId="01034DC8" w14:textId="77777777" w:rsidR="007E4402" w:rsidRDefault="00000000">
      <w:pPr>
        <w:pStyle w:val="ListBullet"/>
        <w:spacing w:after="40"/>
        <w:rPr>
          <w:rFonts w:hint="eastAsia"/>
        </w:rPr>
      </w:pPr>
      <w:r>
        <w:t>If another register/map update arrives during a competing admission, a participant may reply with its own register/map and a warning so the other participant can evaluate the competing state.</w:t>
      </w:r>
    </w:p>
    <w:p w14:paraId="76CB9099" w14:textId="77777777" w:rsidR="007E4402" w:rsidRDefault="00000000">
      <w:pPr>
        <w:pStyle w:val="ListBullet"/>
        <w:spacing w:after="40"/>
        <w:rPr>
          <w:rFonts w:hint="eastAsia"/>
        </w:rPr>
      </w:pPr>
      <w:r>
        <w:t>Acknowledgment completion is a coordinated sequence, not merely receipt of the first response.</w:t>
      </w:r>
    </w:p>
    <w:p w14:paraId="7A773E75" w14:textId="77777777" w:rsidR="007E4402" w:rsidRDefault="00000000">
      <w:pPr>
        <w:pStyle w:val="Heading2"/>
      </w:pPr>
      <w:r>
        <w:t>6.4 Admission commitment</w:t>
      </w:r>
    </w:p>
    <w:tbl>
      <w:tblPr>
        <w:tblW w:w="0" w:type="auto"/>
        <w:jc w:val="center"/>
        <w:tblLook w:val="04A0" w:firstRow="1" w:lastRow="0" w:firstColumn="1" w:lastColumn="0" w:noHBand="0" w:noVBand="1"/>
      </w:tblPr>
      <w:tblGrid>
        <w:gridCol w:w="9878"/>
      </w:tblGrid>
      <w:tr w:rsidR="007E4402" w14:paraId="2F7EDD63" w14:textId="77777777">
        <w:trPr>
          <w:cantSplit/>
          <w:jc w:val="center"/>
        </w:trPr>
        <w:tc>
          <w:tcPr>
            <w:tcW w:w="9878" w:type="dxa"/>
            <w:shd w:val="clear" w:color="auto" w:fill="EAF2FB"/>
          </w:tcPr>
          <w:p w14:paraId="4BA40411" w14:textId="77777777" w:rsidR="007E4402" w:rsidRDefault="00000000">
            <w:pPr>
              <w:spacing w:after="60"/>
              <w:rPr>
                <w:rFonts w:hint="eastAsia"/>
              </w:rPr>
            </w:pPr>
            <w:r>
              <w:rPr>
                <w:b/>
                <w:color w:val="17365D"/>
                <w:sz w:val="20"/>
              </w:rPr>
              <w:t>Admission invariant</w:t>
            </w:r>
          </w:p>
          <w:p w14:paraId="6E3CD9DD" w14:textId="77777777" w:rsidR="007E4402" w:rsidRDefault="00000000">
            <w:pPr>
              <w:spacing w:after="60"/>
              <w:rPr>
                <w:rFonts w:hint="eastAsia"/>
              </w:rPr>
            </w:pPr>
            <w:r>
              <w:rPr>
                <w:sz w:val="18"/>
              </w:rPr>
              <w:t>The initiator treats the incomer as admitted only after the required acknowledgment sequence completes and XMComplete is received. The complete network map is then transferred to the incomer, and normal data exchange begins.</w:t>
            </w:r>
          </w:p>
        </w:tc>
      </w:tr>
    </w:tbl>
    <w:p w14:paraId="30FFDA3C" w14:textId="77777777" w:rsidR="007E4402" w:rsidRDefault="007E4402">
      <w:pPr>
        <w:spacing w:after="20"/>
        <w:rPr>
          <w:rFonts w:hint="eastAsia"/>
        </w:rPr>
      </w:pPr>
    </w:p>
    <w:p w14:paraId="6263FD45" w14:textId="77777777" w:rsidR="007E4402" w:rsidRDefault="00000000">
      <w:pPr>
        <w:rPr>
          <w:rFonts w:hint="eastAsia"/>
        </w:rPr>
      </w:pPr>
      <w:r>
        <w:lastRenderedPageBreak/>
        <w:t>The precise wire-level definition of XMComplete, including fields, correlation identifiers, and timeout behavior, remains a specification item if not already fixed elsewhere.</w:t>
      </w:r>
    </w:p>
    <w:p w14:paraId="30F8393A" w14:textId="77777777" w:rsidR="007E4402" w:rsidRDefault="00000000">
      <w:pPr>
        <w:pStyle w:val="Heading1"/>
      </w:pPr>
      <w:r>
        <w:t>7. Acknowledgment and map consistency</w:t>
      </w:r>
    </w:p>
    <w:p w14:paraId="3DB834E5" w14:textId="77777777" w:rsidR="007E4402" w:rsidRDefault="00000000">
      <w:pPr>
        <w:pStyle w:val="Heading2"/>
      </w:pPr>
      <w:r>
        <w:t>7.1 Authority validation</w:t>
      </w:r>
    </w:p>
    <w:p w14:paraId="5ED21253" w14:textId="77777777" w:rsidR="007E4402" w:rsidRDefault="00000000">
      <w:pPr>
        <w:rPr>
          <w:rFonts w:hint="eastAsia"/>
        </w:rPr>
      </w:pPr>
      <w:r>
        <w:t>The receiver validates a register/map update against the sender's authorized subtree. A sender may not use an update to overwrite structural information outside its scope.</w:t>
      </w:r>
    </w:p>
    <w:p w14:paraId="3C15F1E3" w14:textId="77777777" w:rsidR="007E4402" w:rsidRDefault="00000000">
      <w:pPr>
        <w:pStyle w:val="Heading2"/>
      </w:pPr>
      <w:r>
        <w:t>7.2 Competing and repeated updates</w:t>
      </w:r>
    </w:p>
    <w:p w14:paraId="30ED7558" w14:textId="77777777" w:rsidR="007E4402" w:rsidRDefault="00000000">
      <w:pPr>
        <w:rPr>
          <w:rFonts w:hint="eastAsia"/>
        </w:rPr>
      </w:pPr>
      <w:r>
        <w:t>Updates received during competing admission activity are evaluated against the existing state and acknowledgment rules. An already-served acknowledgment is not repeated merely because another request arrives.</w:t>
      </w:r>
    </w:p>
    <w:p w14:paraId="20BB8FAE" w14:textId="77777777" w:rsidR="007E4402" w:rsidRDefault="00000000">
      <w:pPr>
        <w:pStyle w:val="Heading2"/>
      </w:pPr>
      <w:r>
        <w:t>7.3 State commitment</w:t>
      </w:r>
    </w:p>
    <w:p w14:paraId="5683D077" w14:textId="77777777" w:rsidR="007E4402" w:rsidRDefault="00000000">
      <w:pPr>
        <w:rPr>
          <w:rFonts w:hint="eastAsia"/>
        </w:rPr>
      </w:pPr>
      <w:r>
        <w:t>A node is not an ordinary data-exchange participant before the admission sequence is complete. The wire-protocol specification should explicitly define how delayed messages are correlated with an admission attempt and how stale or out-of-order updates are handled wherever the current sequence does not already prevent them.</w:t>
      </w:r>
    </w:p>
    <w:p w14:paraId="19E13F4C" w14:textId="77777777" w:rsidR="007E4402" w:rsidRDefault="00000000">
      <w:pPr>
        <w:pStyle w:val="Heading1"/>
      </w:pPr>
      <w:r>
        <w:t>8. Normal-operation liveness</w:t>
      </w:r>
    </w:p>
    <w:p w14:paraId="714606D2" w14:textId="77777777" w:rsidR="007E4402" w:rsidRDefault="00000000">
      <w:pPr>
        <w:pStyle w:val="Heading2"/>
      </w:pPr>
      <w:r>
        <w:t>8.1 Direct-host monitoring</w:t>
      </w:r>
    </w:p>
    <w:p w14:paraId="268099AE" w14:textId="77777777" w:rsidR="007E4402" w:rsidRDefault="00000000">
      <w:pPr>
        <w:rPr>
          <w:rFonts w:hint="eastAsia"/>
        </w:rPr>
      </w:pPr>
      <w:r>
        <w:t>Each node sends an alive ping to its direct host and expects a corresponding pong. Nodes do not need to send routine liveness pings to every other node.</w:t>
      </w:r>
    </w:p>
    <w:p w14:paraId="2E947790" w14:textId="77777777" w:rsidR="007E4402" w:rsidRDefault="00000000">
      <w:pPr>
        <w:pStyle w:val="Heading2"/>
      </w:pPr>
      <w:r>
        <w:t>8.2 Steady-state control traffic</w:t>
      </w:r>
    </w:p>
    <w:tbl>
      <w:tblPr>
        <w:tblW w:w="0" w:type="auto"/>
        <w:jc w:val="center"/>
        <w:tblLook w:val="04A0" w:firstRow="1" w:lastRow="0" w:firstColumn="1" w:lastColumn="0" w:noHBand="0" w:noVBand="1"/>
      </w:tblPr>
      <w:tblGrid>
        <w:gridCol w:w="9878"/>
      </w:tblGrid>
      <w:tr w:rsidR="007E4402" w14:paraId="43A91178" w14:textId="77777777">
        <w:trPr>
          <w:cantSplit/>
          <w:jc w:val="center"/>
        </w:trPr>
        <w:tc>
          <w:tcPr>
            <w:tcW w:w="9878" w:type="dxa"/>
            <w:shd w:val="clear" w:color="auto" w:fill="EAF2FB"/>
          </w:tcPr>
          <w:p w14:paraId="10BB9081" w14:textId="77777777" w:rsidR="007E4402" w:rsidRDefault="00000000">
            <w:pPr>
              <w:spacing w:after="60"/>
              <w:rPr>
                <w:rFonts w:hint="eastAsia"/>
              </w:rPr>
            </w:pPr>
            <w:r>
              <w:rPr>
                <w:b/>
                <w:color w:val="17365D"/>
                <w:sz w:val="20"/>
              </w:rPr>
              <w:t>Normal operation</w:t>
            </w:r>
          </w:p>
          <w:p w14:paraId="06A35964" w14:textId="77777777" w:rsidR="007E4402" w:rsidRDefault="00000000">
            <w:pPr>
              <w:spacing w:after="60"/>
              <w:rPr>
                <w:rFonts w:hint="eastAsia"/>
              </w:rPr>
            </w:pPr>
            <w:r>
              <w:rPr>
                <w:sz w:val="18"/>
              </w:rPr>
              <w:t>After admission is complete, routine protocol control traffic is limited to alive ping/pong exchanges. Complete-map transfer and admission acknowledgment traffic are not recurring steady-state messages.</w:t>
            </w:r>
          </w:p>
        </w:tc>
      </w:tr>
    </w:tbl>
    <w:p w14:paraId="480FEEA7" w14:textId="77777777" w:rsidR="007E4402" w:rsidRDefault="007E4402">
      <w:pPr>
        <w:spacing w:after="20"/>
        <w:rPr>
          <w:rFonts w:hint="eastAsia"/>
        </w:rPr>
      </w:pPr>
    </w:p>
    <w:p w14:paraId="26435024" w14:textId="77777777" w:rsidR="007E4402" w:rsidRDefault="00000000">
      <w:pPr>
        <w:rPr>
          <w:rFonts w:hint="eastAsia"/>
        </w:rPr>
      </w:pPr>
      <w:r>
        <w:t>The ping interval, timeout, and retry policy are implementation parameters. Each ping is expected to receive a pong under normal operating conditions.</w:t>
      </w:r>
    </w:p>
    <w:p w14:paraId="7F6635E3" w14:textId="77777777" w:rsidR="007E4402" w:rsidRDefault="00000000">
      <w:pPr>
        <w:pStyle w:val="Heading1"/>
      </w:pPr>
      <w:r>
        <w:t>9. Failure detection and recovery</w:t>
      </w:r>
    </w:p>
    <w:p w14:paraId="0F2E4A3E" w14:textId="77777777" w:rsidR="007E4402" w:rsidRDefault="00000000">
      <w:pPr>
        <w:pStyle w:val="Heading2"/>
      </w:pPr>
      <w:r>
        <w:t>9.1 Failure detection</w:t>
      </w:r>
    </w:p>
    <w:p w14:paraId="7DE2DAE7" w14:textId="77777777" w:rsidR="007E4402" w:rsidRDefault="00000000">
      <w:pPr>
        <w:rPr>
          <w:rFonts w:hint="eastAsia"/>
        </w:rPr>
      </w:pPr>
      <w:r>
        <w:t>A node detects loss of its host through the defined ping/pong liveness mechanism and timeout. Exact timeout and retry values must be specified by the implementation.</w:t>
      </w:r>
    </w:p>
    <w:p w14:paraId="02F4BA78" w14:textId="77777777" w:rsidR="007E4402" w:rsidRDefault="00000000">
      <w:pPr>
        <w:pStyle w:val="Heading2"/>
      </w:pPr>
      <w:r>
        <w:t>9.2 Orphaned subtrees</w:t>
      </w:r>
    </w:p>
    <w:p w14:paraId="01A24C76" w14:textId="77777777" w:rsidR="007E4402" w:rsidRDefault="00000000">
      <w:pPr>
        <w:rPr>
          <w:rFonts w:hint="eastAsia"/>
        </w:rPr>
      </w:pPr>
      <w:r>
        <w:t>When a host fails, its descendants may lose their direct host relationship. The affected structure becomes an orphaned subtree or, if separate subtrees are detached, multiple orphaned trees. Existing descendant relationships remain relevant; the entire network does not automatically become a collection of isolated nodes.</w:t>
      </w:r>
    </w:p>
    <w:p w14:paraId="4A5C0D8E" w14:textId="77777777" w:rsidR="007E4402" w:rsidRDefault="00000000">
      <w:pPr>
        <w:pStyle w:val="Heading2"/>
      </w:pPr>
      <w:r>
        <w:lastRenderedPageBreak/>
        <w:t>9.3 Recovery admission</w:t>
      </w:r>
    </w:p>
    <w:p w14:paraId="4880E462" w14:textId="77777777" w:rsidR="007E4402" w:rsidRDefault="00000000">
      <w:pPr>
        <w:rPr>
          <w:rFonts w:hint="eastAsia"/>
        </w:rPr>
      </w:pPr>
      <w:r>
        <w:t>An orphaned-tree root acts as an incomer while seeking a suitable host in a surviving tree. The normal compatibility and admission procedures apply. After admission completion, the required complete-map synchronization occurs and ordinary data exchange resumes.</w:t>
      </w:r>
    </w:p>
    <w:p w14:paraId="13C66E9A" w14:textId="77777777" w:rsidR="007E4402" w:rsidRDefault="00000000">
      <w:pPr>
        <w:pStyle w:val="Heading2"/>
      </w:pPr>
      <w:r>
        <w:t>9.4 Recovery scope</w:t>
      </w:r>
    </w:p>
    <w:p w14:paraId="3E8DCC1B" w14:textId="77777777" w:rsidR="007E4402" w:rsidRDefault="00000000">
      <w:pPr>
        <w:rPr>
          <w:rFonts w:hint="eastAsia"/>
        </w:rPr>
      </w:pPr>
      <w:r>
        <w:t>Recovery is scoped to the affected subtree or subtrees. Unrelated branches do not require re-admission merely because another branch has failed. Arbitration for concurrent recovery and the behavior of a returning former host must be explicitly specified.</w:t>
      </w:r>
    </w:p>
    <w:p w14:paraId="60DC108F" w14:textId="77777777" w:rsidR="007E4402" w:rsidRDefault="00000000">
      <w:pPr>
        <w:pStyle w:val="Heading1"/>
      </w:pPr>
      <w:r>
        <w:t>10. Protocol overhead</w:t>
      </w:r>
    </w:p>
    <w:p w14:paraId="7574153D" w14:textId="77777777" w:rsidR="007E4402" w:rsidRDefault="00000000">
      <w:pPr>
        <w:pStyle w:val="Heading2"/>
      </w:pPr>
      <w:r>
        <w:t>10.1 Steady-state message rate</w:t>
      </w:r>
    </w:p>
    <w:p w14:paraId="015FB675" w14:textId="77777777" w:rsidR="007E4402" w:rsidRDefault="00000000">
      <w:pPr>
        <w:rPr>
          <w:rFonts w:hint="eastAsia"/>
        </w:rPr>
      </w:pPr>
      <w:r>
        <w:t>A tree containing N nodes has N − 1 host–child relationships. With one ping and one pong per relationship every T seconds:</w:t>
      </w:r>
    </w:p>
    <w:p w14:paraId="4FE74C31" w14:textId="77777777" w:rsidR="007E4402" w:rsidRDefault="00000000">
      <w:pPr>
        <w:jc w:val="center"/>
        <w:rPr>
          <w:rFonts w:hint="eastAsia"/>
        </w:rPr>
      </w:pPr>
      <w:r>
        <w:rPr>
          <w:b/>
          <w:color w:val="2B6F9F"/>
          <w:sz w:val="32"/>
        </w:rPr>
        <w:t>Rsteady = 2(N − 1) / T</w:t>
      </w:r>
    </w:p>
    <w:p w14:paraId="7762DBA6" w14:textId="77777777" w:rsidR="007E4402" w:rsidRDefault="00000000">
      <w:pPr>
        <w:rPr>
          <w:rFonts w:hint="eastAsia"/>
        </w:rPr>
      </w:pPr>
      <w:r>
        <w:t>For 100 nodes and a one-second interval, the application-level rate is 198 messages/s. This excludes Wi-Fi framing, contention, retransmissions, and other application data.</w:t>
      </w:r>
    </w:p>
    <w:p w14:paraId="26917188" w14:textId="77777777" w:rsidR="007E4402" w:rsidRDefault="00000000">
      <w:pPr>
        <w:rPr>
          <w:rFonts w:hint="eastAsia"/>
        </w:rPr>
      </w:pPr>
      <w:r>
        <w:rPr>
          <w:noProof/>
        </w:rPr>
        <w:drawing>
          <wp:inline distT="0" distB="0" distL="0" distR="0" wp14:anchorId="7888CA1D" wp14:editId="32BEBBCA">
            <wp:extent cx="5623560" cy="2954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ady_state_messages.png"/>
                    <pic:cNvPicPr/>
                  </pic:nvPicPr>
                  <pic:blipFill>
                    <a:blip r:embed="rId10"/>
                    <a:stretch>
                      <a:fillRect/>
                    </a:stretch>
                  </pic:blipFill>
                  <pic:spPr>
                    <a:xfrm>
                      <a:off x="0" y="0"/>
                      <a:ext cx="5623560" cy="2954958"/>
                    </a:xfrm>
                    <a:prstGeom prst="rect">
                      <a:avLst/>
                    </a:prstGeom>
                  </pic:spPr>
                </pic:pic>
              </a:graphicData>
            </a:graphic>
          </wp:inline>
        </w:drawing>
      </w:r>
    </w:p>
    <w:p w14:paraId="34BD3C8F" w14:textId="77777777" w:rsidR="007E4402" w:rsidRDefault="00000000">
      <w:pPr>
        <w:spacing w:after="160"/>
        <w:jc w:val="center"/>
        <w:rPr>
          <w:rFonts w:hint="eastAsia"/>
        </w:rPr>
      </w:pPr>
      <w:r>
        <w:rPr>
          <w:i/>
          <w:color w:val="5F6E7D"/>
          <w:sz w:val="16"/>
        </w:rPr>
        <w:t>Figure 3. Linear scaling of ping/pong message rate for a one-second interval.</w:t>
      </w:r>
    </w:p>
    <w:p w14:paraId="5AC8FEBB" w14:textId="77777777" w:rsidR="007E4402" w:rsidRDefault="00000000">
      <w:pPr>
        <w:pStyle w:val="Heading2"/>
      </w:pPr>
      <w:r>
        <w:t>10.2 Admission and recovery cost</w:t>
      </w:r>
    </w:p>
    <w:p w14:paraId="6BE14265" w14:textId="77777777" w:rsidR="007E4402" w:rsidRDefault="00000000">
      <w:pPr>
        <w:rPr>
          <w:rFonts w:hint="eastAsia"/>
        </w:rPr>
      </w:pPr>
      <w:r>
        <w:t>Admission incurs control exchanges and complete-map transfers. Recovery adds temporary failure-detection and re-admission traffic. Their cost depends on map size, the number of competing hosts, the number of admission attempts, and the affected subtree.</w:t>
      </w:r>
    </w:p>
    <w:p w14:paraId="3BBCFD33" w14:textId="77777777" w:rsidR="007E4402" w:rsidRDefault="00000000">
      <w:pPr>
        <w:pStyle w:val="Heading2"/>
      </w:pPr>
      <w:r>
        <w:t>10.3 Scaling conclusion</w:t>
      </w:r>
    </w:p>
    <w:p w14:paraId="5C4A6591" w14:textId="77777777" w:rsidR="007E4402" w:rsidRDefault="00000000">
      <w:pPr>
        <w:pStyle w:val="ListBullet"/>
        <w:spacing w:after="40"/>
        <w:rPr>
          <w:rFonts w:hint="eastAsia"/>
        </w:rPr>
      </w:pPr>
      <w:r>
        <w:t>Routine liveness traffic scales linearly with node count.</w:t>
      </w:r>
    </w:p>
    <w:p w14:paraId="2D2755ED" w14:textId="77777777" w:rsidR="007E4402" w:rsidRDefault="00000000">
      <w:pPr>
        <w:pStyle w:val="ListBullet"/>
        <w:spacing w:after="40"/>
        <w:rPr>
          <w:rFonts w:hint="eastAsia"/>
        </w:rPr>
      </w:pPr>
      <w:r>
        <w:t>Complete-map transfer is confined to admission and recovery rather than repeated during steady state.</w:t>
      </w:r>
    </w:p>
    <w:p w14:paraId="59182E4D" w14:textId="77777777" w:rsidR="007E4402" w:rsidRDefault="00000000">
      <w:pPr>
        <w:pStyle w:val="ListBullet"/>
        <w:spacing w:after="40"/>
        <w:rPr>
          <w:rFonts w:hint="eastAsia"/>
        </w:rPr>
      </w:pPr>
      <w:r>
        <w:t>Admission and recovery produce event-driven bursts whose size depends on topology and map representation.</w:t>
      </w:r>
    </w:p>
    <w:p w14:paraId="0FB52B93" w14:textId="77777777" w:rsidR="007E4402" w:rsidRDefault="00000000">
      <w:pPr>
        <w:pStyle w:val="Heading1"/>
      </w:pPr>
      <w:r>
        <w:lastRenderedPageBreak/>
        <w:t>11. Security and robustness considerations</w:t>
      </w:r>
    </w:p>
    <w:p w14:paraId="34555396" w14:textId="77777777" w:rsidR="007E4402" w:rsidRDefault="00000000">
      <w:pPr>
        <w:rPr>
          <w:rFonts w:hint="eastAsia"/>
        </w:rPr>
      </w:pPr>
      <w:r>
        <w:t>The current architecture defines authority and consistency behavior, but these alone do not authenticate senders. A production implementation should evaluate:</w:t>
      </w:r>
    </w:p>
    <w:p w14:paraId="48746946" w14:textId="77777777" w:rsidR="007E4402" w:rsidRDefault="00000000">
      <w:pPr>
        <w:pStyle w:val="ListBullet"/>
        <w:spacing w:after="40"/>
        <w:rPr>
          <w:rFonts w:hint="eastAsia"/>
        </w:rPr>
      </w:pPr>
      <w:r>
        <w:t>Authentication and integrity protection for admission, map updates, pings, pongs, and acknowledgments.</w:t>
      </w:r>
    </w:p>
    <w:p w14:paraId="34F77CB8" w14:textId="77777777" w:rsidR="007E4402" w:rsidRDefault="00000000">
      <w:pPr>
        <w:pStyle w:val="ListBullet"/>
        <w:spacing w:after="40"/>
        <w:rPr>
          <w:rFonts w:hint="eastAsia"/>
        </w:rPr>
      </w:pPr>
      <w:r>
        <w:t>Validation that a sender's update stays within its authorized subtree.</w:t>
      </w:r>
    </w:p>
    <w:p w14:paraId="157873F7" w14:textId="77777777" w:rsidR="007E4402" w:rsidRDefault="00000000">
      <w:pPr>
        <w:pStyle w:val="ListBullet"/>
        <w:spacing w:after="40"/>
        <w:rPr>
          <w:rFonts w:hint="eastAsia"/>
        </w:rPr>
      </w:pPr>
      <w:r>
        <w:t>Replay protection or transaction correlation for delayed acknowledgments and repeated requests.</w:t>
      </w:r>
    </w:p>
    <w:p w14:paraId="49058B65" w14:textId="77777777" w:rsidR="007E4402" w:rsidRDefault="00000000">
      <w:pPr>
        <w:pStyle w:val="ListBullet"/>
        <w:spacing w:after="40"/>
        <w:rPr>
          <w:rFonts w:hint="eastAsia"/>
        </w:rPr>
      </w:pPr>
      <w:r>
        <w:t>Handling of duplicate, malformed, or conflicting node identities.</w:t>
      </w:r>
    </w:p>
    <w:p w14:paraId="74C17229" w14:textId="77777777" w:rsidR="007E4402" w:rsidRDefault="00000000">
      <w:pPr>
        <w:pStyle w:val="ListBullet"/>
        <w:spacing w:after="40"/>
        <w:rPr>
          <w:rFonts w:hint="eastAsia"/>
        </w:rPr>
      </w:pPr>
      <w:r>
        <w:t>Resource limits for repeated admission attempts and recovery bursts.</w:t>
      </w:r>
    </w:p>
    <w:p w14:paraId="3C45923F" w14:textId="77777777" w:rsidR="007E4402" w:rsidRDefault="00000000">
      <w:pPr>
        <w:rPr>
          <w:rFonts w:hint="eastAsia"/>
        </w:rPr>
      </w:pPr>
      <w:r>
        <w:t>These are engineering considerations for a robust deployment, not claims that the current design already implements cryptographic protection or replay resistance.</w:t>
      </w:r>
    </w:p>
    <w:p w14:paraId="54083E65" w14:textId="77777777" w:rsidR="007E4402" w:rsidRDefault="00000000">
      <w:pPr>
        <w:pStyle w:val="Heading1"/>
      </w:pPr>
      <w:r>
        <w:t>12. Implementation parameters and open items</w:t>
      </w:r>
    </w:p>
    <w:tbl>
      <w:tblPr>
        <w:tblStyle w:val="TableGrid"/>
        <w:tblW w:w="0" w:type="auto"/>
        <w:jc w:val="center"/>
        <w:tblLook w:val="04A0" w:firstRow="1" w:lastRow="0" w:firstColumn="1" w:lastColumn="0" w:noHBand="0" w:noVBand="1"/>
      </w:tblPr>
      <w:tblGrid>
        <w:gridCol w:w="2664"/>
        <w:gridCol w:w="6768"/>
      </w:tblGrid>
      <w:tr w:rsidR="007E4402" w14:paraId="3300D6CF" w14:textId="77777777">
        <w:trPr>
          <w:cantSplit/>
          <w:jc w:val="center"/>
        </w:trPr>
        <w:tc>
          <w:tcPr>
            <w:tcW w:w="2664" w:type="dxa"/>
            <w:shd w:val="clear" w:color="auto" w:fill="17365D"/>
            <w:vAlign w:val="center"/>
          </w:tcPr>
          <w:p w14:paraId="5B4E9BC8" w14:textId="77777777" w:rsidR="007E4402" w:rsidRDefault="00000000">
            <w:pPr>
              <w:spacing w:after="20"/>
              <w:rPr>
                <w:rFonts w:hint="eastAsia"/>
              </w:rPr>
            </w:pPr>
            <w:r>
              <w:rPr>
                <w:b/>
                <w:color w:val="FFFFFF"/>
                <w:sz w:val="17"/>
              </w:rPr>
              <w:t>Item</w:t>
            </w:r>
          </w:p>
        </w:tc>
        <w:tc>
          <w:tcPr>
            <w:tcW w:w="6768" w:type="dxa"/>
            <w:shd w:val="clear" w:color="auto" w:fill="17365D"/>
            <w:vAlign w:val="center"/>
          </w:tcPr>
          <w:p w14:paraId="71BB217E" w14:textId="77777777" w:rsidR="007E4402" w:rsidRDefault="00000000">
            <w:pPr>
              <w:spacing w:after="20"/>
              <w:rPr>
                <w:rFonts w:hint="eastAsia"/>
              </w:rPr>
            </w:pPr>
            <w:r>
              <w:rPr>
                <w:b/>
                <w:color w:val="FFFFFF"/>
                <w:sz w:val="17"/>
              </w:rPr>
              <w:t>Status / required definition</w:t>
            </w:r>
          </w:p>
        </w:tc>
      </w:tr>
      <w:tr w:rsidR="007E4402" w14:paraId="78819429" w14:textId="77777777">
        <w:trPr>
          <w:cantSplit/>
          <w:jc w:val="center"/>
        </w:trPr>
        <w:tc>
          <w:tcPr>
            <w:tcW w:w="2664" w:type="dxa"/>
            <w:vAlign w:val="center"/>
          </w:tcPr>
          <w:p w14:paraId="423D9CBD" w14:textId="77777777" w:rsidR="007E4402" w:rsidRDefault="00000000">
            <w:pPr>
              <w:spacing w:after="20"/>
              <w:rPr>
                <w:rFonts w:hint="eastAsia"/>
              </w:rPr>
            </w:pPr>
            <w:r>
              <w:rPr>
                <w:sz w:val="16"/>
              </w:rPr>
              <w:t>Compatibility weights and normalization</w:t>
            </w:r>
          </w:p>
        </w:tc>
        <w:tc>
          <w:tcPr>
            <w:tcW w:w="6768" w:type="dxa"/>
            <w:vAlign w:val="center"/>
          </w:tcPr>
          <w:p w14:paraId="50B2DAD2" w14:textId="77777777" w:rsidR="007E4402" w:rsidRDefault="00000000">
            <w:pPr>
              <w:spacing w:after="20"/>
              <w:rPr>
                <w:rFonts w:hint="eastAsia"/>
              </w:rPr>
            </w:pPr>
            <w:r>
              <w:rPr>
                <w:sz w:val="16"/>
              </w:rPr>
              <w:t>Pending: specify weights, normalization, and preference direction for each parameter.</w:t>
            </w:r>
          </w:p>
        </w:tc>
      </w:tr>
      <w:tr w:rsidR="007E4402" w14:paraId="14ECA3A4" w14:textId="77777777">
        <w:trPr>
          <w:cantSplit/>
          <w:jc w:val="center"/>
        </w:trPr>
        <w:tc>
          <w:tcPr>
            <w:tcW w:w="2664" w:type="dxa"/>
            <w:shd w:val="clear" w:color="auto" w:fill="F1F5F9"/>
            <w:vAlign w:val="center"/>
          </w:tcPr>
          <w:p w14:paraId="1E1DDBFD" w14:textId="77777777" w:rsidR="007E4402" w:rsidRDefault="00000000">
            <w:pPr>
              <w:spacing w:after="20"/>
              <w:rPr>
                <w:rFonts w:hint="eastAsia"/>
              </w:rPr>
            </w:pPr>
            <w:r>
              <w:rPr>
                <w:sz w:val="16"/>
              </w:rPr>
              <w:t>MAC tie-break direction</w:t>
            </w:r>
          </w:p>
        </w:tc>
        <w:tc>
          <w:tcPr>
            <w:tcW w:w="6768" w:type="dxa"/>
            <w:shd w:val="clear" w:color="auto" w:fill="F1F5F9"/>
            <w:vAlign w:val="center"/>
          </w:tcPr>
          <w:p w14:paraId="7A8D2C62" w14:textId="77777777" w:rsidR="007E4402" w:rsidRDefault="00000000">
            <w:pPr>
              <w:spacing w:after="20"/>
              <w:rPr>
                <w:rFonts w:hint="eastAsia"/>
              </w:rPr>
            </w:pPr>
            <w:r>
              <w:rPr>
                <w:sz w:val="16"/>
              </w:rPr>
              <w:t>Pending: choose lower or higher numerical MAC and apply consistently.</w:t>
            </w:r>
          </w:p>
        </w:tc>
      </w:tr>
      <w:tr w:rsidR="007E4402" w14:paraId="5CDE344D" w14:textId="77777777">
        <w:trPr>
          <w:cantSplit/>
          <w:jc w:val="center"/>
        </w:trPr>
        <w:tc>
          <w:tcPr>
            <w:tcW w:w="2664" w:type="dxa"/>
            <w:vAlign w:val="center"/>
          </w:tcPr>
          <w:p w14:paraId="554E7DC1" w14:textId="77777777" w:rsidR="007E4402" w:rsidRDefault="00000000">
            <w:pPr>
              <w:spacing w:after="20"/>
              <w:rPr>
                <w:rFonts w:hint="eastAsia"/>
              </w:rPr>
            </w:pPr>
            <w:r>
              <w:rPr>
                <w:sz w:val="16"/>
              </w:rPr>
              <w:t>Ping interval and timeout</w:t>
            </w:r>
          </w:p>
        </w:tc>
        <w:tc>
          <w:tcPr>
            <w:tcW w:w="6768" w:type="dxa"/>
            <w:vAlign w:val="center"/>
          </w:tcPr>
          <w:p w14:paraId="3F3B3147" w14:textId="77777777" w:rsidR="007E4402" w:rsidRDefault="00000000">
            <w:pPr>
              <w:spacing w:after="20"/>
              <w:rPr>
                <w:rFonts w:hint="eastAsia"/>
              </w:rPr>
            </w:pPr>
            <w:r>
              <w:rPr>
                <w:sz w:val="16"/>
              </w:rPr>
              <w:t>Pending: define interval, timeout, and retry policy.</w:t>
            </w:r>
          </w:p>
        </w:tc>
      </w:tr>
      <w:tr w:rsidR="007E4402" w14:paraId="1583E458" w14:textId="77777777">
        <w:trPr>
          <w:cantSplit/>
          <w:jc w:val="center"/>
        </w:trPr>
        <w:tc>
          <w:tcPr>
            <w:tcW w:w="2664" w:type="dxa"/>
            <w:shd w:val="clear" w:color="auto" w:fill="F1F5F9"/>
            <w:vAlign w:val="center"/>
          </w:tcPr>
          <w:p w14:paraId="53896110" w14:textId="77777777" w:rsidR="007E4402" w:rsidRDefault="00000000">
            <w:pPr>
              <w:spacing w:after="20"/>
              <w:rPr>
                <w:rFonts w:hint="eastAsia"/>
              </w:rPr>
            </w:pPr>
            <w:r>
              <w:rPr>
                <w:sz w:val="16"/>
              </w:rPr>
              <w:t>Acknowledgment fields</w:t>
            </w:r>
          </w:p>
        </w:tc>
        <w:tc>
          <w:tcPr>
            <w:tcW w:w="6768" w:type="dxa"/>
            <w:shd w:val="clear" w:color="auto" w:fill="F1F5F9"/>
            <w:vAlign w:val="center"/>
          </w:tcPr>
          <w:p w14:paraId="585D7CA6" w14:textId="77777777" w:rsidR="007E4402" w:rsidRDefault="00000000">
            <w:pPr>
              <w:spacing w:after="20"/>
              <w:rPr>
                <w:rFonts w:hint="eastAsia"/>
              </w:rPr>
            </w:pPr>
            <w:r>
              <w:rPr>
                <w:sz w:val="16"/>
              </w:rPr>
              <w:t>Pending: define message fields, correlation, completion conditions, and timeout behavior.</w:t>
            </w:r>
          </w:p>
        </w:tc>
      </w:tr>
      <w:tr w:rsidR="007E4402" w14:paraId="722E4409" w14:textId="77777777">
        <w:trPr>
          <w:cantSplit/>
          <w:jc w:val="center"/>
        </w:trPr>
        <w:tc>
          <w:tcPr>
            <w:tcW w:w="2664" w:type="dxa"/>
            <w:vAlign w:val="center"/>
          </w:tcPr>
          <w:p w14:paraId="7FDBB6FE" w14:textId="77777777" w:rsidR="007E4402" w:rsidRDefault="00000000">
            <w:pPr>
              <w:spacing w:after="20"/>
              <w:rPr>
                <w:rFonts w:hint="eastAsia"/>
              </w:rPr>
            </w:pPr>
            <w:r>
              <w:rPr>
                <w:sz w:val="16"/>
              </w:rPr>
              <w:t>Stale/out-of-order message handling</w:t>
            </w:r>
          </w:p>
        </w:tc>
        <w:tc>
          <w:tcPr>
            <w:tcW w:w="6768" w:type="dxa"/>
            <w:vAlign w:val="center"/>
          </w:tcPr>
          <w:p w14:paraId="2B0822DD" w14:textId="77777777" w:rsidR="007E4402" w:rsidRDefault="00000000">
            <w:pPr>
              <w:spacing w:after="20"/>
              <w:rPr>
                <w:rFonts w:hint="eastAsia"/>
              </w:rPr>
            </w:pPr>
            <w:r>
              <w:rPr>
                <w:sz w:val="16"/>
              </w:rPr>
              <w:t>Specify only where not already prevented by the defined acknowledgment/ownership sequence.</w:t>
            </w:r>
          </w:p>
        </w:tc>
      </w:tr>
      <w:tr w:rsidR="007E4402" w14:paraId="0598AFED" w14:textId="77777777">
        <w:trPr>
          <w:cantSplit/>
          <w:jc w:val="center"/>
        </w:trPr>
        <w:tc>
          <w:tcPr>
            <w:tcW w:w="2664" w:type="dxa"/>
            <w:shd w:val="clear" w:color="auto" w:fill="F1F5F9"/>
            <w:vAlign w:val="center"/>
          </w:tcPr>
          <w:p w14:paraId="73F4FF9B" w14:textId="77777777" w:rsidR="007E4402" w:rsidRDefault="00000000">
            <w:pPr>
              <w:spacing w:after="20"/>
              <w:rPr>
                <w:rFonts w:hint="eastAsia"/>
              </w:rPr>
            </w:pPr>
            <w:r>
              <w:rPr>
                <w:sz w:val="16"/>
              </w:rPr>
              <w:t>Concurrent recovery arbitration</w:t>
            </w:r>
          </w:p>
        </w:tc>
        <w:tc>
          <w:tcPr>
            <w:tcW w:w="6768" w:type="dxa"/>
            <w:shd w:val="clear" w:color="auto" w:fill="F1F5F9"/>
            <w:vAlign w:val="center"/>
          </w:tcPr>
          <w:p w14:paraId="18FEE4B5" w14:textId="77777777" w:rsidR="007E4402" w:rsidRDefault="00000000">
            <w:pPr>
              <w:spacing w:after="20"/>
              <w:rPr>
                <w:rFonts w:hint="eastAsia"/>
              </w:rPr>
            </w:pPr>
            <w:r>
              <w:rPr>
                <w:sz w:val="16"/>
              </w:rPr>
              <w:t>Pending: define behavior for simultaneous orphaned-tree recovery.</w:t>
            </w:r>
          </w:p>
        </w:tc>
      </w:tr>
      <w:tr w:rsidR="007E4402" w14:paraId="4D03EF46" w14:textId="77777777">
        <w:trPr>
          <w:cantSplit/>
          <w:jc w:val="center"/>
        </w:trPr>
        <w:tc>
          <w:tcPr>
            <w:tcW w:w="2664" w:type="dxa"/>
            <w:vAlign w:val="center"/>
          </w:tcPr>
          <w:p w14:paraId="4DA1C51A" w14:textId="77777777" w:rsidR="007E4402" w:rsidRDefault="00000000">
            <w:pPr>
              <w:spacing w:after="20"/>
              <w:rPr>
                <w:rFonts w:hint="eastAsia"/>
              </w:rPr>
            </w:pPr>
            <w:r>
              <w:rPr>
                <w:sz w:val="16"/>
              </w:rPr>
              <w:t>Former host returns</w:t>
            </w:r>
          </w:p>
        </w:tc>
        <w:tc>
          <w:tcPr>
            <w:tcW w:w="6768" w:type="dxa"/>
            <w:vAlign w:val="center"/>
          </w:tcPr>
          <w:p w14:paraId="52136484" w14:textId="77777777" w:rsidR="007E4402" w:rsidRDefault="00000000">
            <w:pPr>
              <w:spacing w:after="20"/>
              <w:rPr>
                <w:rFonts w:hint="eastAsia"/>
              </w:rPr>
            </w:pPr>
            <w:r>
              <w:rPr>
                <w:sz w:val="16"/>
              </w:rPr>
              <w:t>Pending: define behavior if a failed host reappears after its former subtree has joined another tree.</w:t>
            </w:r>
          </w:p>
        </w:tc>
      </w:tr>
      <w:tr w:rsidR="007E4402" w14:paraId="6AA95EEC" w14:textId="77777777">
        <w:trPr>
          <w:cantSplit/>
          <w:jc w:val="center"/>
        </w:trPr>
        <w:tc>
          <w:tcPr>
            <w:tcW w:w="2664" w:type="dxa"/>
            <w:shd w:val="clear" w:color="auto" w:fill="F1F5F9"/>
            <w:vAlign w:val="center"/>
          </w:tcPr>
          <w:p w14:paraId="2AFF29AC" w14:textId="77777777" w:rsidR="007E4402" w:rsidRDefault="00000000">
            <w:pPr>
              <w:spacing w:after="20"/>
              <w:rPr>
                <w:rFonts w:hint="eastAsia"/>
              </w:rPr>
            </w:pPr>
            <w:r>
              <w:rPr>
                <w:sz w:val="16"/>
              </w:rPr>
              <w:t>Register/map encoding</w:t>
            </w:r>
          </w:p>
        </w:tc>
        <w:tc>
          <w:tcPr>
            <w:tcW w:w="6768" w:type="dxa"/>
            <w:shd w:val="clear" w:color="auto" w:fill="F1F5F9"/>
            <w:vAlign w:val="center"/>
          </w:tcPr>
          <w:p w14:paraId="19EE6BC7" w14:textId="77777777" w:rsidR="007E4402" w:rsidRDefault="00000000">
            <w:pPr>
              <w:spacing w:after="20"/>
              <w:rPr>
                <w:rFonts w:hint="eastAsia"/>
              </w:rPr>
            </w:pPr>
            <w:r>
              <w:rPr>
                <w:sz w:val="16"/>
              </w:rPr>
              <w:t>Pending: specify serialization, bounds, and versioning if required.</w:t>
            </w:r>
          </w:p>
        </w:tc>
      </w:tr>
      <w:tr w:rsidR="007E4402" w14:paraId="0B54ABB6" w14:textId="77777777">
        <w:trPr>
          <w:cantSplit/>
          <w:jc w:val="center"/>
        </w:trPr>
        <w:tc>
          <w:tcPr>
            <w:tcW w:w="2664" w:type="dxa"/>
            <w:vAlign w:val="center"/>
          </w:tcPr>
          <w:p w14:paraId="7EAB7552" w14:textId="77777777" w:rsidR="007E4402" w:rsidRDefault="00000000">
            <w:pPr>
              <w:spacing w:after="20"/>
              <w:rPr>
                <w:rFonts w:hint="eastAsia"/>
              </w:rPr>
            </w:pPr>
            <w:r>
              <w:rPr>
                <w:sz w:val="16"/>
              </w:rPr>
              <w:t>Identity uniqueness</w:t>
            </w:r>
          </w:p>
        </w:tc>
        <w:tc>
          <w:tcPr>
            <w:tcW w:w="6768" w:type="dxa"/>
            <w:vAlign w:val="center"/>
          </w:tcPr>
          <w:p w14:paraId="12C0D915" w14:textId="77777777" w:rsidR="007E4402" w:rsidRDefault="00000000">
            <w:pPr>
              <w:spacing w:after="20"/>
              <w:rPr>
                <w:rFonts w:hint="eastAsia"/>
              </w:rPr>
            </w:pPr>
            <w:r>
              <w:rPr>
                <w:sz w:val="16"/>
              </w:rPr>
              <w:t>Assumption for deterministic MAC tie-break: addresses are unique within the network.</w:t>
            </w:r>
          </w:p>
        </w:tc>
      </w:tr>
    </w:tbl>
    <w:p w14:paraId="4A4C179E" w14:textId="77777777" w:rsidR="007E4402" w:rsidRDefault="007E4402">
      <w:pPr>
        <w:spacing w:after="20"/>
        <w:rPr>
          <w:rFonts w:hint="eastAsia"/>
        </w:rPr>
      </w:pPr>
    </w:p>
    <w:p w14:paraId="6432F292" w14:textId="77777777" w:rsidR="007E4402" w:rsidRDefault="00000000">
      <w:pPr>
        <w:pStyle w:val="Heading1"/>
      </w:pPr>
      <w:r>
        <w:t>Appendix A. Message-flow reference</w:t>
      </w:r>
    </w:p>
    <w:tbl>
      <w:tblPr>
        <w:tblStyle w:val="TableGrid"/>
        <w:tblW w:w="0" w:type="auto"/>
        <w:jc w:val="center"/>
        <w:tblLook w:val="04A0" w:firstRow="1" w:lastRow="0" w:firstColumn="1" w:lastColumn="0" w:noHBand="0" w:noVBand="1"/>
      </w:tblPr>
      <w:tblGrid>
        <w:gridCol w:w="1800"/>
        <w:gridCol w:w="3816"/>
        <w:gridCol w:w="3816"/>
      </w:tblGrid>
      <w:tr w:rsidR="007E4402" w14:paraId="29FCF417" w14:textId="77777777">
        <w:trPr>
          <w:cantSplit/>
          <w:jc w:val="center"/>
        </w:trPr>
        <w:tc>
          <w:tcPr>
            <w:tcW w:w="1800" w:type="dxa"/>
            <w:shd w:val="clear" w:color="auto" w:fill="17365D"/>
            <w:vAlign w:val="center"/>
          </w:tcPr>
          <w:p w14:paraId="1190B3A4" w14:textId="77777777" w:rsidR="007E4402" w:rsidRDefault="00000000">
            <w:pPr>
              <w:spacing w:after="20"/>
              <w:rPr>
                <w:rFonts w:hint="eastAsia"/>
              </w:rPr>
            </w:pPr>
            <w:r>
              <w:rPr>
                <w:b/>
                <w:color w:val="FFFFFF"/>
                <w:sz w:val="17"/>
              </w:rPr>
              <w:t>Phase</w:t>
            </w:r>
          </w:p>
        </w:tc>
        <w:tc>
          <w:tcPr>
            <w:tcW w:w="3816" w:type="dxa"/>
            <w:shd w:val="clear" w:color="auto" w:fill="17365D"/>
            <w:vAlign w:val="center"/>
          </w:tcPr>
          <w:p w14:paraId="774863EE" w14:textId="77777777" w:rsidR="007E4402" w:rsidRDefault="00000000">
            <w:pPr>
              <w:spacing w:after="20"/>
              <w:rPr>
                <w:rFonts w:hint="eastAsia"/>
              </w:rPr>
            </w:pPr>
            <w:r>
              <w:rPr>
                <w:b/>
                <w:color w:val="FFFFFF"/>
                <w:sz w:val="17"/>
              </w:rPr>
              <w:t>Message / action</w:t>
            </w:r>
          </w:p>
        </w:tc>
        <w:tc>
          <w:tcPr>
            <w:tcW w:w="3816" w:type="dxa"/>
            <w:shd w:val="clear" w:color="auto" w:fill="17365D"/>
            <w:vAlign w:val="center"/>
          </w:tcPr>
          <w:p w14:paraId="2F2E9AFF" w14:textId="77777777" w:rsidR="007E4402" w:rsidRDefault="00000000">
            <w:pPr>
              <w:spacing w:after="20"/>
              <w:rPr>
                <w:rFonts w:hint="eastAsia"/>
              </w:rPr>
            </w:pPr>
            <w:r>
              <w:rPr>
                <w:b/>
                <w:color w:val="FFFFFF"/>
                <w:sz w:val="17"/>
              </w:rPr>
              <w:t>Expected outcome</w:t>
            </w:r>
          </w:p>
        </w:tc>
      </w:tr>
      <w:tr w:rsidR="007E4402" w14:paraId="3780E374" w14:textId="77777777">
        <w:trPr>
          <w:cantSplit/>
          <w:jc w:val="center"/>
        </w:trPr>
        <w:tc>
          <w:tcPr>
            <w:tcW w:w="1800" w:type="dxa"/>
            <w:vAlign w:val="center"/>
          </w:tcPr>
          <w:p w14:paraId="682CECD2" w14:textId="77777777" w:rsidR="007E4402" w:rsidRDefault="00000000">
            <w:pPr>
              <w:spacing w:after="20"/>
              <w:rPr>
                <w:rFonts w:hint="eastAsia"/>
              </w:rPr>
            </w:pPr>
            <w:r>
              <w:rPr>
                <w:sz w:val="16"/>
              </w:rPr>
              <w:t>Admission</w:t>
            </w:r>
          </w:p>
        </w:tc>
        <w:tc>
          <w:tcPr>
            <w:tcW w:w="3816" w:type="dxa"/>
            <w:vAlign w:val="center"/>
          </w:tcPr>
          <w:p w14:paraId="1E8625A8" w14:textId="77777777" w:rsidR="007E4402" w:rsidRDefault="00000000">
            <w:pPr>
              <w:spacing w:after="20"/>
              <w:rPr>
                <w:rFonts w:hint="eastAsia"/>
              </w:rPr>
            </w:pPr>
            <w:r>
              <w:rPr>
                <w:sz w:val="16"/>
              </w:rPr>
              <w:t>Register/map update acknowledgment request</w:t>
            </w:r>
          </w:p>
        </w:tc>
        <w:tc>
          <w:tcPr>
            <w:tcW w:w="3816" w:type="dxa"/>
            <w:vAlign w:val="center"/>
          </w:tcPr>
          <w:p w14:paraId="1B5F710E" w14:textId="77777777" w:rsidR="007E4402" w:rsidRDefault="00000000">
            <w:pPr>
              <w:spacing w:after="20"/>
              <w:rPr>
                <w:rFonts w:hint="eastAsia"/>
              </w:rPr>
            </w:pPr>
            <w:r>
              <w:rPr>
                <w:sz w:val="16"/>
              </w:rPr>
              <w:t>Recipients evaluate current state and compatibility.</w:t>
            </w:r>
          </w:p>
        </w:tc>
      </w:tr>
      <w:tr w:rsidR="007E4402" w14:paraId="2CFDE9F8" w14:textId="77777777">
        <w:trPr>
          <w:cantSplit/>
          <w:jc w:val="center"/>
        </w:trPr>
        <w:tc>
          <w:tcPr>
            <w:tcW w:w="1800" w:type="dxa"/>
            <w:shd w:val="clear" w:color="auto" w:fill="F1F5F9"/>
            <w:vAlign w:val="center"/>
          </w:tcPr>
          <w:p w14:paraId="66A2A9E9" w14:textId="77777777" w:rsidR="007E4402" w:rsidRDefault="00000000">
            <w:pPr>
              <w:spacing w:after="20"/>
              <w:rPr>
                <w:rFonts w:hint="eastAsia"/>
              </w:rPr>
            </w:pPr>
            <w:r>
              <w:rPr>
                <w:sz w:val="16"/>
              </w:rPr>
              <w:t>Admission</w:t>
            </w:r>
          </w:p>
        </w:tc>
        <w:tc>
          <w:tcPr>
            <w:tcW w:w="3816" w:type="dxa"/>
            <w:shd w:val="clear" w:color="auto" w:fill="F1F5F9"/>
            <w:vAlign w:val="center"/>
          </w:tcPr>
          <w:p w14:paraId="095D4882" w14:textId="77777777" w:rsidR="007E4402" w:rsidRDefault="00000000">
            <w:pPr>
              <w:spacing w:after="20"/>
              <w:rPr>
                <w:rFonts w:hint="eastAsia"/>
              </w:rPr>
            </w:pPr>
            <w:r>
              <w:rPr>
                <w:sz w:val="16"/>
              </w:rPr>
              <w:t>Compatibility evaluation</w:t>
            </w:r>
          </w:p>
        </w:tc>
        <w:tc>
          <w:tcPr>
            <w:tcW w:w="3816" w:type="dxa"/>
            <w:shd w:val="clear" w:color="auto" w:fill="F1F5F9"/>
            <w:vAlign w:val="center"/>
          </w:tcPr>
          <w:p w14:paraId="5AB3562D" w14:textId="77777777" w:rsidR="007E4402" w:rsidRDefault="00000000">
            <w:pPr>
              <w:spacing w:after="20"/>
              <w:rPr>
                <w:rFonts w:hint="eastAsia"/>
              </w:rPr>
            </w:pPr>
            <w:r>
              <w:rPr>
                <w:sz w:val="16"/>
              </w:rPr>
              <w:t>Preferred host is determined by weighted score and MAC tie-break.</w:t>
            </w:r>
          </w:p>
        </w:tc>
      </w:tr>
      <w:tr w:rsidR="007E4402" w14:paraId="309B954D" w14:textId="77777777">
        <w:trPr>
          <w:cantSplit/>
          <w:jc w:val="center"/>
        </w:trPr>
        <w:tc>
          <w:tcPr>
            <w:tcW w:w="1800" w:type="dxa"/>
            <w:vAlign w:val="center"/>
          </w:tcPr>
          <w:p w14:paraId="24059EF8" w14:textId="77777777" w:rsidR="007E4402" w:rsidRDefault="00000000">
            <w:pPr>
              <w:spacing w:after="20"/>
              <w:rPr>
                <w:rFonts w:hint="eastAsia"/>
              </w:rPr>
            </w:pPr>
            <w:r>
              <w:rPr>
                <w:sz w:val="16"/>
              </w:rPr>
              <w:t>Admission</w:t>
            </w:r>
          </w:p>
        </w:tc>
        <w:tc>
          <w:tcPr>
            <w:tcW w:w="3816" w:type="dxa"/>
            <w:vAlign w:val="center"/>
          </w:tcPr>
          <w:p w14:paraId="06B05BB3" w14:textId="77777777" w:rsidR="007E4402" w:rsidRDefault="00000000">
            <w:pPr>
              <w:spacing w:after="20"/>
              <w:rPr>
                <w:rFonts w:hint="eastAsia"/>
              </w:rPr>
            </w:pPr>
            <w:r>
              <w:rPr>
                <w:sz w:val="16"/>
              </w:rPr>
              <w:t>Required acknowledgment exchange</w:t>
            </w:r>
          </w:p>
        </w:tc>
        <w:tc>
          <w:tcPr>
            <w:tcW w:w="3816" w:type="dxa"/>
            <w:vAlign w:val="center"/>
          </w:tcPr>
          <w:p w14:paraId="36BAA012" w14:textId="77777777" w:rsidR="007E4402" w:rsidRDefault="00000000">
            <w:pPr>
              <w:spacing w:after="20"/>
              <w:rPr>
                <w:rFonts w:hint="eastAsia"/>
              </w:rPr>
            </w:pPr>
            <w:r>
              <w:rPr>
                <w:sz w:val="16"/>
              </w:rPr>
              <w:t>Participants resolve competing admission state.</w:t>
            </w:r>
          </w:p>
        </w:tc>
      </w:tr>
      <w:tr w:rsidR="007E4402" w14:paraId="4CE3F33D" w14:textId="77777777">
        <w:trPr>
          <w:cantSplit/>
          <w:jc w:val="center"/>
        </w:trPr>
        <w:tc>
          <w:tcPr>
            <w:tcW w:w="1800" w:type="dxa"/>
            <w:shd w:val="clear" w:color="auto" w:fill="F1F5F9"/>
            <w:vAlign w:val="center"/>
          </w:tcPr>
          <w:p w14:paraId="5BBB7EBE" w14:textId="77777777" w:rsidR="007E4402" w:rsidRDefault="00000000">
            <w:pPr>
              <w:spacing w:after="20"/>
              <w:rPr>
                <w:rFonts w:hint="eastAsia"/>
              </w:rPr>
            </w:pPr>
            <w:r>
              <w:rPr>
                <w:sz w:val="16"/>
              </w:rPr>
              <w:t>Admission completion</w:t>
            </w:r>
          </w:p>
        </w:tc>
        <w:tc>
          <w:tcPr>
            <w:tcW w:w="3816" w:type="dxa"/>
            <w:shd w:val="clear" w:color="auto" w:fill="F1F5F9"/>
            <w:vAlign w:val="center"/>
          </w:tcPr>
          <w:p w14:paraId="42FA1BB6" w14:textId="77777777" w:rsidR="007E4402" w:rsidRDefault="00000000">
            <w:pPr>
              <w:spacing w:after="20"/>
              <w:rPr>
                <w:rFonts w:hint="eastAsia"/>
              </w:rPr>
            </w:pPr>
            <w:r>
              <w:rPr>
                <w:sz w:val="16"/>
              </w:rPr>
              <w:t>XMComplete</w:t>
            </w:r>
          </w:p>
        </w:tc>
        <w:tc>
          <w:tcPr>
            <w:tcW w:w="3816" w:type="dxa"/>
            <w:shd w:val="clear" w:color="auto" w:fill="F1F5F9"/>
            <w:vAlign w:val="center"/>
          </w:tcPr>
          <w:p w14:paraId="1005E30C" w14:textId="77777777" w:rsidR="007E4402" w:rsidRDefault="00000000">
            <w:pPr>
              <w:spacing w:after="20"/>
              <w:rPr>
                <w:rFonts w:hint="eastAsia"/>
              </w:rPr>
            </w:pPr>
            <w:r>
              <w:rPr>
                <w:sz w:val="16"/>
              </w:rPr>
              <w:t>Initiator recognizes completion of required acknowledgment sequence.</w:t>
            </w:r>
          </w:p>
        </w:tc>
      </w:tr>
      <w:tr w:rsidR="007E4402" w14:paraId="36588BB3" w14:textId="77777777">
        <w:trPr>
          <w:cantSplit/>
          <w:jc w:val="center"/>
        </w:trPr>
        <w:tc>
          <w:tcPr>
            <w:tcW w:w="1800" w:type="dxa"/>
            <w:vAlign w:val="center"/>
          </w:tcPr>
          <w:p w14:paraId="5FF7479F" w14:textId="77777777" w:rsidR="007E4402" w:rsidRDefault="00000000">
            <w:pPr>
              <w:spacing w:after="20"/>
              <w:rPr>
                <w:rFonts w:hint="eastAsia"/>
              </w:rPr>
            </w:pPr>
            <w:r>
              <w:rPr>
                <w:sz w:val="16"/>
              </w:rPr>
              <w:t>Map synchronization</w:t>
            </w:r>
          </w:p>
        </w:tc>
        <w:tc>
          <w:tcPr>
            <w:tcW w:w="3816" w:type="dxa"/>
            <w:vAlign w:val="center"/>
          </w:tcPr>
          <w:p w14:paraId="2C837E26" w14:textId="77777777" w:rsidR="007E4402" w:rsidRDefault="00000000">
            <w:pPr>
              <w:spacing w:after="20"/>
              <w:rPr>
                <w:rFonts w:hint="eastAsia"/>
              </w:rPr>
            </w:pPr>
            <w:r>
              <w:rPr>
                <w:sz w:val="16"/>
              </w:rPr>
              <w:t>Complete register/map transfer</w:t>
            </w:r>
          </w:p>
        </w:tc>
        <w:tc>
          <w:tcPr>
            <w:tcW w:w="3816" w:type="dxa"/>
            <w:vAlign w:val="center"/>
          </w:tcPr>
          <w:p w14:paraId="4B8B340C" w14:textId="77777777" w:rsidR="007E4402" w:rsidRDefault="00000000">
            <w:pPr>
              <w:spacing w:after="20"/>
              <w:rPr>
                <w:rFonts w:hint="eastAsia"/>
              </w:rPr>
            </w:pPr>
            <w:r>
              <w:rPr>
                <w:sz w:val="16"/>
              </w:rPr>
              <w:t>Incomer receives the complete network map.</w:t>
            </w:r>
          </w:p>
        </w:tc>
      </w:tr>
      <w:tr w:rsidR="007E4402" w14:paraId="4AAB5A96" w14:textId="77777777">
        <w:trPr>
          <w:cantSplit/>
          <w:jc w:val="center"/>
        </w:trPr>
        <w:tc>
          <w:tcPr>
            <w:tcW w:w="1800" w:type="dxa"/>
            <w:shd w:val="clear" w:color="auto" w:fill="F1F5F9"/>
            <w:vAlign w:val="center"/>
          </w:tcPr>
          <w:p w14:paraId="7DF4159C" w14:textId="77777777" w:rsidR="007E4402" w:rsidRDefault="00000000">
            <w:pPr>
              <w:spacing w:after="20"/>
              <w:rPr>
                <w:rFonts w:hint="eastAsia"/>
              </w:rPr>
            </w:pPr>
            <w:r>
              <w:rPr>
                <w:sz w:val="16"/>
              </w:rPr>
              <w:t>Normal operation</w:t>
            </w:r>
          </w:p>
        </w:tc>
        <w:tc>
          <w:tcPr>
            <w:tcW w:w="3816" w:type="dxa"/>
            <w:shd w:val="clear" w:color="auto" w:fill="F1F5F9"/>
            <w:vAlign w:val="center"/>
          </w:tcPr>
          <w:p w14:paraId="17EDFBBC" w14:textId="77777777" w:rsidR="007E4402" w:rsidRDefault="00000000">
            <w:pPr>
              <w:spacing w:after="20"/>
              <w:rPr>
                <w:rFonts w:hint="eastAsia"/>
              </w:rPr>
            </w:pPr>
            <w:r>
              <w:rPr>
                <w:sz w:val="16"/>
              </w:rPr>
              <w:t>Alive ping → pong</w:t>
            </w:r>
          </w:p>
        </w:tc>
        <w:tc>
          <w:tcPr>
            <w:tcW w:w="3816" w:type="dxa"/>
            <w:shd w:val="clear" w:color="auto" w:fill="F1F5F9"/>
            <w:vAlign w:val="center"/>
          </w:tcPr>
          <w:p w14:paraId="1FDF0ABB" w14:textId="77777777" w:rsidR="007E4402" w:rsidRDefault="00000000">
            <w:pPr>
              <w:spacing w:after="20"/>
              <w:rPr>
                <w:rFonts w:hint="eastAsia"/>
              </w:rPr>
            </w:pPr>
            <w:r>
              <w:rPr>
                <w:sz w:val="16"/>
              </w:rPr>
              <w:t>Direct host liveness is monitored.</w:t>
            </w:r>
          </w:p>
        </w:tc>
      </w:tr>
      <w:tr w:rsidR="007E4402" w14:paraId="38B7ED70" w14:textId="77777777">
        <w:trPr>
          <w:cantSplit/>
          <w:jc w:val="center"/>
        </w:trPr>
        <w:tc>
          <w:tcPr>
            <w:tcW w:w="1800" w:type="dxa"/>
            <w:vAlign w:val="center"/>
          </w:tcPr>
          <w:p w14:paraId="2ABEFE3E" w14:textId="77777777" w:rsidR="007E4402" w:rsidRDefault="00000000">
            <w:pPr>
              <w:spacing w:after="20"/>
              <w:rPr>
                <w:rFonts w:hint="eastAsia"/>
              </w:rPr>
            </w:pPr>
            <w:r>
              <w:rPr>
                <w:sz w:val="16"/>
              </w:rPr>
              <w:t>Recovery</w:t>
            </w:r>
          </w:p>
        </w:tc>
        <w:tc>
          <w:tcPr>
            <w:tcW w:w="3816" w:type="dxa"/>
            <w:vAlign w:val="center"/>
          </w:tcPr>
          <w:p w14:paraId="7C2C4A84" w14:textId="77777777" w:rsidR="007E4402" w:rsidRDefault="00000000">
            <w:pPr>
              <w:spacing w:after="20"/>
              <w:rPr>
                <w:rFonts w:hint="eastAsia"/>
              </w:rPr>
            </w:pPr>
            <w:r>
              <w:rPr>
                <w:sz w:val="16"/>
              </w:rPr>
              <w:t>Failure detection and re-admission</w:t>
            </w:r>
          </w:p>
        </w:tc>
        <w:tc>
          <w:tcPr>
            <w:tcW w:w="3816" w:type="dxa"/>
            <w:vAlign w:val="center"/>
          </w:tcPr>
          <w:p w14:paraId="4A339A6C" w14:textId="77777777" w:rsidR="007E4402" w:rsidRDefault="00000000">
            <w:pPr>
              <w:spacing w:after="20"/>
              <w:rPr>
                <w:rFonts w:hint="eastAsia"/>
              </w:rPr>
            </w:pPr>
            <w:r>
              <w:rPr>
                <w:sz w:val="16"/>
              </w:rPr>
              <w:t>Affected subtree seeks a suitable host and synchronizes map.</w:t>
            </w:r>
          </w:p>
        </w:tc>
      </w:tr>
    </w:tbl>
    <w:p w14:paraId="031CB11E" w14:textId="77777777" w:rsidR="007E4402" w:rsidRDefault="007E4402">
      <w:pPr>
        <w:spacing w:after="20"/>
        <w:rPr>
          <w:rFonts w:hint="eastAsia"/>
        </w:rPr>
      </w:pPr>
    </w:p>
    <w:p w14:paraId="7EC36DB0" w14:textId="77777777" w:rsidR="007E4402" w:rsidRDefault="00000000">
      <w:pPr>
        <w:pStyle w:val="Heading1"/>
      </w:pPr>
      <w:r>
        <w:t>Closing specification statement</w:t>
      </w:r>
    </w:p>
    <w:p w14:paraId="2A53F612" w14:textId="77777777" w:rsidR="007E4402" w:rsidRDefault="00000000">
      <w:pPr>
        <w:rPr>
          <w:rFonts w:hint="eastAsia"/>
        </w:rPr>
      </w:pPr>
      <w:r>
        <w:t>The protocol separates topology admission from steady-state operation. Admission performs host selection, acknowledgment coordination, and complete-map synchronization. Once admission completes, normal control traffic is limited to ping/pong exchanges between each node and its direct host. Tree authority governs structural changes, and recovery is scoped to affected subtrees.</w:t>
      </w:r>
    </w:p>
    <w:sectPr w:rsidR="007E4402" w:rsidSect="00034616">
      <w:headerReference w:type="default" r:id="rId11"/>
      <w:footerReference w:type="default" r:id="rId12"/>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FDE2F" w14:textId="77777777" w:rsidR="00A652D3" w:rsidRDefault="00A652D3">
      <w:pPr>
        <w:spacing w:after="0" w:line="240" w:lineRule="auto"/>
        <w:rPr>
          <w:rFonts w:hint="eastAsia"/>
        </w:rPr>
      </w:pPr>
      <w:r>
        <w:separator/>
      </w:r>
    </w:p>
  </w:endnote>
  <w:endnote w:type="continuationSeparator" w:id="0">
    <w:p w14:paraId="03BB06F1" w14:textId="77777777" w:rsidR="00A652D3" w:rsidRDefault="00A652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6A29" w14:textId="77777777" w:rsidR="007E4402" w:rsidRDefault="00000000">
    <w:pPr>
      <w:pStyle w:val="Footer"/>
      <w:jc w:val="center"/>
      <w:rPr>
        <w:rFonts w:hint="eastAsia"/>
      </w:rPr>
    </w:pPr>
    <w:r>
      <w:rPr>
        <w:color w:val="646E78"/>
        <w:sz w:val="16"/>
      </w:rPr>
      <w:t xml:space="preserve">Protocol Specification • Draft v0.1  |  </w:t>
    </w:r>
    <w:r>
      <w:fldChar w:fldCharType="begin"/>
    </w:r>
    <w:r>
      <w:instrText>PAGE</w:instrText>
    </w:r>
    <w:r>
      <w:rPr>
        <w:rFonts w:hint="eastAsia"/>
      </w:rPr>
      <w:fldChar w:fldCharType="separate"/>
    </w:r>
    <w:r w:rsidR="00B4087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D492" w14:textId="77777777" w:rsidR="00A652D3" w:rsidRDefault="00A652D3">
      <w:pPr>
        <w:spacing w:after="0" w:line="240" w:lineRule="auto"/>
        <w:rPr>
          <w:rFonts w:hint="eastAsia"/>
        </w:rPr>
      </w:pPr>
      <w:r>
        <w:separator/>
      </w:r>
    </w:p>
  </w:footnote>
  <w:footnote w:type="continuationSeparator" w:id="0">
    <w:p w14:paraId="66785876" w14:textId="77777777" w:rsidR="00A652D3" w:rsidRDefault="00A652D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F3EA" w14:textId="77777777" w:rsidR="007E4402" w:rsidRDefault="00000000">
    <w:pPr>
      <w:pStyle w:val="Header"/>
      <w:jc w:val="right"/>
      <w:rPr>
        <w:rFonts w:hint="eastAsia"/>
      </w:rPr>
    </w:pPr>
    <w:r>
      <w:rPr>
        <w:b/>
        <w:color w:val="5A6978"/>
        <w:sz w:val="16"/>
      </w:rPr>
      <w:t>TREE-BASED SELF-ORGANIZING NETWORK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035191">
    <w:abstractNumId w:val="8"/>
  </w:num>
  <w:num w:numId="2" w16cid:durableId="1352296591">
    <w:abstractNumId w:val="6"/>
  </w:num>
  <w:num w:numId="3" w16cid:durableId="258560961">
    <w:abstractNumId w:val="5"/>
  </w:num>
  <w:num w:numId="4" w16cid:durableId="2115317062">
    <w:abstractNumId w:val="4"/>
  </w:num>
  <w:num w:numId="5" w16cid:durableId="310987376">
    <w:abstractNumId w:val="7"/>
  </w:num>
  <w:num w:numId="6" w16cid:durableId="1330209782">
    <w:abstractNumId w:val="3"/>
  </w:num>
  <w:num w:numId="7" w16cid:durableId="1995597477">
    <w:abstractNumId w:val="2"/>
  </w:num>
  <w:num w:numId="8" w16cid:durableId="321739319">
    <w:abstractNumId w:val="1"/>
  </w:num>
  <w:num w:numId="9" w16cid:durableId="87709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4402"/>
    <w:rsid w:val="008A750D"/>
    <w:rsid w:val="00A652D3"/>
    <w:rsid w:val="00AA1D8D"/>
    <w:rsid w:val="00B4087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CA675"/>
  <w14:defaultImageDpi w14:val="300"/>
  <w15:docId w15:val="{66AF06A7-2718-4B23-A379-064EE455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7344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6F9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B6F9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2168</Words>
  <Characters>12361</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Tree-Based Self-Organizing Network Protocol</dc:title>
  <dc:subject>Protocol architecture specification</dc:subject>
  <dc:creator>OpenAI</dc:creator>
  <cp:keywords>tree network, admission, register map, ping pong, subtree authority</cp:keywords>
  <dc:description>generated by python-docx</dc:description>
  <cp:lastModifiedBy>Shubhendu Banerjee</cp:lastModifiedBy>
  <cp:revision>2</cp:revision>
  <dcterms:created xsi:type="dcterms:W3CDTF">2013-12-23T23:15:00Z</dcterms:created>
  <dcterms:modified xsi:type="dcterms:W3CDTF">2026-10-09T14:40:00Z</dcterms:modified>
  <cp:category/>
</cp:coreProperties>
</file>