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6B7280"/>
          <w:sz w:val="28"/>
        </w:rPr>
        <w:t>COMEDKARES INNOVATION HUB</w:t>
      </w:r>
    </w:p>
    <w:p>
      <w:pPr>
        <w:spacing w:before="120"/>
        <w:jc w:val="center"/>
      </w:pPr>
      <w:r>
        <w:rPr>
          <w:b/>
          <w:color w:val="1A237E"/>
          <w:sz w:val="80"/>
        </w:rPr>
        <w:t>CIMS Live Demo</w:t>
      </w:r>
    </w:p>
    <w:p>
      <w:pPr>
        <w:jc w:val="center"/>
      </w:pPr>
      <w:r>
        <w:rPr>
          <w:color w:val="17355F"/>
          <w:sz w:val="32"/>
        </w:rPr>
        <w:t>Presenter’s Script &amp; Talking Points</w:t>
      </w:r>
    </w:p>
    <w:p>
      <w:pPr>
        <w:spacing w:before="360"/>
        <w:jc w:val="center"/>
      </w:pPr>
      <w:r>
        <w:rPr>
          <w:b/>
          <w:color w:val="FF6D00"/>
          <w:sz w:val="24"/>
        </w:rPr>
        <w:t>For Version 2.0 — Management Walkthrough</w:t>
      </w:r>
    </w:p>
    <w:p/>
    <w:p/>
    <w:p/>
    <w:p/>
    <w:p/>
    <w:p/>
    <w:p/>
    <w:p/>
    <w:p/>
    <w:p/>
    <w:p>
      <w:pPr>
        <w:jc w:val="center"/>
      </w:pPr>
      <w:r>
        <w:rPr>
          <w:i/>
          <w:color w:val="6B7280"/>
          <w:sz w:val="20"/>
        </w:rPr>
        <w:t>Companion to CIMS_V2.0_System_Guide.docx — read this one right before you present.</w:t>
      </w:r>
    </w:p>
    <w:p>
      <w:r>
        <w:br w:type="page"/>
      </w:r>
    </w:p>
    <w:p>
      <w:pPr>
        <w:pStyle w:val="Heading1"/>
        <w:spacing w:before="320" w:after="120"/>
      </w:pPr>
      <w:r>
        <w:rPr>
          <w:rFonts w:ascii="Calibri" w:hAnsi="Calibri"/>
          <w:color w:val="1A237E"/>
          <w:sz w:val="38"/>
        </w:rPr>
        <w:t>1. Before You Start</w:t>
      </w:r>
    </w:p>
    <w:p>
      <w:pPr>
        <w:pStyle w:val="Heading2"/>
        <w:spacing w:before="320" w:after="120"/>
      </w:pPr>
      <w:r>
        <w:rPr>
          <w:rFonts w:ascii="Calibri" w:hAnsi="Calibri"/>
          <w:color w:val="1A237E"/>
          <w:sz w:val="29"/>
        </w:rPr>
        <w:t>1.1 Suggested Length &amp; Structure</w:t>
      </w:r>
    </w:p>
    <w:p>
      <w:pPr>
        <w:spacing w:after="120"/>
      </w:pPr>
      <w:r>
        <w:rPr>
          <w:b w:val="0"/>
          <w:i w:val="0"/>
          <w:color w:val="1A1A2E"/>
          <w:sz w:val="22"/>
        </w:rPr>
        <w:t>Total: 15–20 minutes of live product, plus Q&amp;A. Four parts, each proving one thing:</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312"/>
            <w:shd w:fill="17355F"/>
          </w:tcPr>
          <w:p>
            <w:r>
              <w:rPr>
                <w:b/>
                <w:color w:val="FFFFFF"/>
                <w:sz w:val="21"/>
              </w:rPr>
              <w:t>Part</w:t>
            </w:r>
          </w:p>
        </w:tc>
        <w:tc>
          <w:tcPr>
            <w:tcW w:type="dxa" w:w="1584"/>
            <w:shd w:fill="17355F"/>
          </w:tcPr>
          <w:p>
            <w:r>
              <w:rPr>
                <w:b/>
                <w:color w:val="FFFFFF"/>
                <w:sz w:val="21"/>
              </w:rPr>
              <w:t>Role shown</w:t>
            </w:r>
          </w:p>
        </w:tc>
        <w:tc>
          <w:tcPr>
            <w:tcW w:type="dxa" w:w="3744"/>
            <w:shd w:fill="17355F"/>
          </w:tcPr>
          <w:p>
            <w:r>
              <w:rPr>
                <w:b/>
                <w:color w:val="FFFFFF"/>
                <w:sz w:val="21"/>
              </w:rPr>
              <w:t>What it proves</w:t>
            </w:r>
          </w:p>
        </w:tc>
        <w:tc>
          <w:tcPr>
            <w:tcW w:type="dxa" w:w="1152"/>
            <w:shd w:fill="17355F"/>
          </w:tcPr>
          <w:p>
            <w:r>
              <w:rPr>
                <w:b/>
                <w:color w:val="FFFFFF"/>
                <w:sz w:val="21"/>
              </w:rPr>
              <w:t>Time</w:t>
            </w:r>
          </w:p>
        </w:tc>
      </w:tr>
      <w:tr>
        <w:tc>
          <w:tcPr>
            <w:tcW w:type="dxa" w:w="3312"/>
          </w:tcPr>
          <w:p>
            <w:r>
              <w:rPr>
                <w:color w:val="1A1A2E"/>
                <w:sz w:val="20"/>
              </w:rPr>
              <w:t>1. A student places a request</w:t>
            </w:r>
          </w:p>
        </w:tc>
        <w:tc>
          <w:tcPr>
            <w:tcW w:type="dxa" w:w="1584"/>
          </w:tcPr>
          <w:p>
            <w:r>
              <w:rPr>
                <w:color w:val="1A1A2E"/>
                <w:sz w:val="20"/>
              </w:rPr>
              <w:t>Student</w:t>
            </w:r>
          </w:p>
        </w:tc>
        <w:tc>
          <w:tcPr>
            <w:tcW w:type="dxa" w:w="3744"/>
          </w:tcPr>
          <w:p>
            <w:r>
              <w:rPr>
                <w:color w:val="1A1A2E"/>
                <w:sz w:val="20"/>
              </w:rPr>
              <w:t>The system is simple enough for any student to use unaided</w:t>
            </w:r>
          </w:p>
        </w:tc>
        <w:tc>
          <w:tcPr>
            <w:tcW w:type="dxa" w:w="1152"/>
          </w:tcPr>
          <w:p>
            <w:r>
              <w:rPr>
                <w:color w:val="1A1A2E"/>
                <w:sz w:val="20"/>
              </w:rPr>
              <w:t>3 min</w:t>
            </w:r>
          </w:p>
        </w:tc>
      </w:tr>
      <w:tr>
        <w:tc>
          <w:tcPr>
            <w:tcW w:type="dxa" w:w="3312"/>
          </w:tcPr>
          <w:p>
            <w:r>
              <w:rPr>
                <w:color w:val="1A1A2E"/>
                <w:sz w:val="20"/>
              </w:rPr>
              <w:t>2. Admin acts on it in real time</w:t>
            </w:r>
          </w:p>
        </w:tc>
        <w:tc>
          <w:tcPr>
            <w:tcW w:type="dxa" w:w="1584"/>
          </w:tcPr>
          <w:p>
            <w:r>
              <w:rPr>
                <w:color w:val="1A1A2E"/>
                <w:sz w:val="20"/>
              </w:rPr>
              <w:t>Admin</w:t>
            </w:r>
          </w:p>
        </w:tc>
        <w:tc>
          <w:tcPr>
            <w:tcW w:type="dxa" w:w="3744"/>
          </w:tcPr>
          <w:p>
            <w:r>
              <w:rPr>
                <w:color w:val="1A1A2E"/>
                <w:sz w:val="20"/>
              </w:rPr>
              <w:t>Requests are live, not batched or manual</w:t>
            </w:r>
          </w:p>
        </w:tc>
        <w:tc>
          <w:tcPr>
            <w:tcW w:type="dxa" w:w="1152"/>
          </w:tcPr>
          <w:p>
            <w:r>
              <w:rPr>
                <w:color w:val="1A1A2E"/>
                <w:sz w:val="20"/>
              </w:rPr>
              <w:t>4 min</w:t>
            </w:r>
          </w:p>
        </w:tc>
      </w:tr>
      <w:tr>
        <w:tc>
          <w:tcPr>
            <w:tcW w:type="dxa" w:w="3312"/>
          </w:tcPr>
          <w:p>
            <w:r>
              <w:rPr>
                <w:color w:val="1A1A2E"/>
                <w:sz w:val="20"/>
              </w:rPr>
              <w:t>3. Org-wide control</w:t>
            </w:r>
          </w:p>
        </w:tc>
        <w:tc>
          <w:tcPr>
            <w:tcW w:type="dxa" w:w="1584"/>
          </w:tcPr>
          <w:p>
            <w:r>
              <w:rPr>
                <w:color w:val="1A1A2E"/>
                <w:sz w:val="20"/>
              </w:rPr>
              <w:t>Super Admin</w:t>
            </w:r>
          </w:p>
        </w:tc>
        <w:tc>
          <w:tcPr>
            <w:tcW w:type="dxa" w:w="3744"/>
          </w:tcPr>
          <w:p>
            <w:r>
              <w:rPr>
                <w:color w:val="1A1A2E"/>
                <w:sz w:val="20"/>
              </w:rPr>
              <w:t>One person can see and govern all 9 centers</w:t>
            </w:r>
          </w:p>
        </w:tc>
        <w:tc>
          <w:tcPr>
            <w:tcW w:type="dxa" w:w="1152"/>
          </w:tcPr>
          <w:p>
            <w:r>
              <w:rPr>
                <w:color w:val="1A1A2E"/>
                <w:sz w:val="20"/>
              </w:rPr>
              <w:t>6 min</w:t>
            </w:r>
          </w:p>
        </w:tc>
      </w:tr>
      <w:tr>
        <w:tc>
          <w:tcPr>
            <w:tcW w:type="dxa" w:w="3312"/>
          </w:tcPr>
          <w:p>
            <w:r>
              <w:rPr>
                <w:color w:val="1A1A2E"/>
                <w:sz w:val="20"/>
              </w:rPr>
              <w:t>4. Closing the loop</w:t>
            </w:r>
          </w:p>
        </w:tc>
        <w:tc>
          <w:tcPr>
            <w:tcW w:type="dxa" w:w="1584"/>
          </w:tcPr>
          <w:p>
            <w:r>
              <w:rPr>
                <w:color w:val="1A1A2E"/>
                <w:sz w:val="20"/>
              </w:rPr>
              <w:t>Admin / Super Admin</w:t>
            </w:r>
          </w:p>
        </w:tc>
        <w:tc>
          <w:tcPr>
            <w:tcW w:type="dxa" w:w="3744"/>
          </w:tcPr>
          <w:p>
            <w:r>
              <w:rPr>
                <w:color w:val="1A1A2E"/>
                <w:sz w:val="20"/>
              </w:rPr>
              <w:t>Every unit is tracked to the end — nothing gets lost</w:t>
            </w:r>
          </w:p>
        </w:tc>
        <w:tc>
          <w:tcPr>
            <w:tcW w:type="dxa" w:w="1152"/>
          </w:tcPr>
          <w:p>
            <w:r>
              <w:rPr>
                <w:color w:val="1A1A2E"/>
                <w:sz w:val="20"/>
              </w:rPr>
              <w:t>4 min</w:t>
            </w:r>
          </w:p>
        </w:tc>
      </w:tr>
    </w:tbl>
    <w:p>
      <w:pPr>
        <w:spacing w:after="80"/>
      </w:pPr>
    </w:p>
    <w:p>
      <w:pPr>
        <w:pStyle w:val="Heading2"/>
        <w:spacing w:before="320" w:after="120"/>
      </w:pPr>
      <w:r>
        <w:rPr>
          <w:rFonts w:ascii="Calibri" w:hAnsi="Calibri"/>
          <w:color w:val="1A237E"/>
          <w:sz w:val="29"/>
        </w:rPr>
        <w:t>1.2 Accounts You Will Need</w:t>
      </w:r>
    </w:p>
    <w:p>
      <w:pPr>
        <w:spacing w:after="120"/>
      </w:pPr>
      <w:r>
        <w:rPr>
          <w:b w:val="0"/>
          <w:i w:val="0"/>
          <w:color w:val="1A1A2E"/>
          <w:sz w:val="22"/>
        </w:rPr>
        <w:t>Use your existing J P Nagar test logins — that center has real stock and real photos, which makes the demo visually convincing. Have these ready in three separate browser tabs/windows before you start, already logged in if possible: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864"/>
            <w:shd w:fill="17355F"/>
          </w:tcPr>
          <w:p>
            <w:r>
              <w:rPr>
                <w:b/>
                <w:color w:val="FFFFFF"/>
                <w:sz w:val="21"/>
              </w:rPr>
              <w:t>Tab</w:t>
            </w:r>
          </w:p>
        </w:tc>
        <w:tc>
          <w:tcPr>
            <w:tcW w:type="dxa" w:w="2880"/>
            <w:shd w:fill="17355F"/>
          </w:tcPr>
          <w:p>
            <w:r>
              <w:rPr>
                <w:b/>
                <w:color w:val="FFFFFF"/>
                <w:sz w:val="21"/>
              </w:rPr>
              <w:t>Username</w:t>
            </w:r>
          </w:p>
        </w:tc>
        <w:tc>
          <w:tcPr>
            <w:tcW w:type="dxa" w:w="2592"/>
            <w:shd w:fill="17355F"/>
          </w:tcPr>
          <w:p>
            <w:r>
              <w:rPr>
                <w:b/>
                <w:color w:val="FFFFFF"/>
                <w:sz w:val="21"/>
              </w:rPr>
              <w:t>Role</w:t>
            </w:r>
          </w:p>
        </w:tc>
        <w:tc>
          <w:tcPr>
            <w:tcW w:type="dxa" w:w="2304"/>
            <w:shd w:fill="17355F"/>
          </w:tcPr>
          <w:p>
            <w:r>
              <w:rPr>
                <w:b/>
                <w:color w:val="FFFFFF"/>
                <w:sz w:val="21"/>
              </w:rPr>
              <w:t>Used in</w:t>
            </w:r>
          </w:p>
        </w:tc>
      </w:tr>
      <w:tr>
        <w:tc>
          <w:tcPr>
            <w:tcW w:type="dxa" w:w="864"/>
          </w:tcPr>
          <w:p>
            <w:r>
              <w:rPr>
                <w:color w:val="1A1A2E"/>
                <w:sz w:val="20"/>
              </w:rPr>
              <w:t>1</w:t>
            </w:r>
          </w:p>
        </w:tc>
        <w:tc>
          <w:tcPr>
            <w:tcW w:type="dxa" w:w="2880"/>
          </w:tcPr>
          <w:p>
            <w:r>
              <w:rPr>
                <w:color w:val="1A1A2E"/>
                <w:sz w:val="20"/>
              </w:rPr>
              <w:t>jp_nagar_student</w:t>
            </w:r>
          </w:p>
        </w:tc>
        <w:tc>
          <w:tcPr>
            <w:tcW w:type="dxa" w:w="2592"/>
          </w:tcPr>
          <w:p>
            <w:r>
              <w:rPr>
                <w:color w:val="1A1A2E"/>
                <w:sz w:val="20"/>
              </w:rPr>
              <w:t>Student</w:t>
            </w:r>
          </w:p>
        </w:tc>
        <w:tc>
          <w:tcPr>
            <w:tcW w:type="dxa" w:w="2304"/>
          </w:tcPr>
          <w:p>
            <w:r>
              <w:rPr>
                <w:color w:val="1A1A2E"/>
                <w:sz w:val="20"/>
              </w:rPr>
              <w:t>Part 1</w:t>
            </w:r>
          </w:p>
        </w:tc>
      </w:tr>
      <w:tr>
        <w:tc>
          <w:tcPr>
            <w:tcW w:type="dxa" w:w="864"/>
          </w:tcPr>
          <w:p>
            <w:r>
              <w:rPr>
                <w:color w:val="1A1A2E"/>
                <w:sz w:val="20"/>
              </w:rPr>
              <w:t>2</w:t>
            </w:r>
          </w:p>
        </w:tc>
        <w:tc>
          <w:tcPr>
            <w:tcW w:type="dxa" w:w="2880"/>
          </w:tcPr>
          <w:p>
            <w:r>
              <w:rPr>
                <w:color w:val="1A1A2E"/>
                <w:sz w:val="20"/>
              </w:rPr>
              <w:t>jp_nagar_admin</w:t>
            </w:r>
          </w:p>
        </w:tc>
        <w:tc>
          <w:tcPr>
            <w:tcW w:type="dxa" w:w="2592"/>
          </w:tcPr>
          <w:p>
            <w:r>
              <w:rPr>
                <w:color w:val="1A1A2E"/>
                <w:sz w:val="20"/>
              </w:rPr>
              <w:t>Admin (J P Nagar)</w:t>
            </w:r>
          </w:p>
        </w:tc>
        <w:tc>
          <w:tcPr>
            <w:tcW w:type="dxa" w:w="2304"/>
          </w:tcPr>
          <w:p>
            <w:r>
              <w:rPr>
                <w:color w:val="1A1A2E"/>
                <w:sz w:val="20"/>
              </w:rPr>
              <w:t>Parts 2 &amp; 4</w:t>
            </w:r>
          </w:p>
        </w:tc>
      </w:tr>
      <w:tr>
        <w:tc>
          <w:tcPr>
            <w:tcW w:type="dxa" w:w="864"/>
          </w:tcPr>
          <w:p>
            <w:r>
              <w:rPr>
                <w:color w:val="1A1A2E"/>
                <w:sz w:val="20"/>
              </w:rPr>
              <w:t>3</w:t>
            </w:r>
          </w:p>
        </w:tc>
        <w:tc>
          <w:tcPr>
            <w:tcW w:type="dxa" w:w="2880"/>
          </w:tcPr>
          <w:p>
            <w:r>
              <w:rPr>
                <w:color w:val="1A1A2E"/>
                <w:sz w:val="20"/>
              </w:rPr>
              <w:t>superadmin</w:t>
            </w:r>
          </w:p>
        </w:tc>
        <w:tc>
          <w:tcPr>
            <w:tcW w:type="dxa" w:w="2592"/>
          </w:tcPr>
          <w:p>
            <w:r>
              <w:rPr>
                <w:color w:val="1A1A2E"/>
                <w:sz w:val="20"/>
              </w:rPr>
              <w:t>Super Admin</w:t>
            </w:r>
          </w:p>
        </w:tc>
        <w:tc>
          <w:tcPr>
            <w:tcW w:type="dxa" w:w="2304"/>
          </w:tcPr>
          <w:p>
            <w:r>
              <w:rPr>
                <w:color w:val="1A1A2E"/>
                <w:sz w:val="20"/>
              </w:rPr>
              <w:t>Parts 3 &amp; 4</w:t>
            </w:r>
          </w:p>
        </w:tc>
      </w:tr>
    </w:tbl>
    <w:p>
      <w:pPr>
        <w:spacing w:after="80"/>
      </w:pPr>
    </w:p>
    <w:p>
      <w:pPr>
        <w:spacing w:after="120"/>
      </w:pPr>
      <w:r>
        <w:rPr>
          <w:b w:val="0"/>
          <w:i/>
          <w:color w:val="6B7280"/>
          <w:sz w:val="19"/>
        </w:rPr>
        <w:t>(Use your own current passwords — not reproduced here.)</w:t>
      </w:r>
    </w:p>
    <w:p>
      <w:pPr>
        <w:pStyle w:val="Heading2"/>
        <w:spacing w:before="320" w:after="120"/>
      </w:pPr>
      <w:r>
        <w:rPr>
          <w:rFonts w:ascii="Calibri" w:hAnsi="Calibri"/>
          <w:color w:val="1A237E"/>
          <w:sz w:val="29"/>
        </w:rPr>
        <w:t>1.3 Pre-Flight Checklist</w:t>
      </w:r>
    </w:p>
    <w:p>
      <w:pPr>
        <w:pStyle w:val="ListBullet"/>
        <w:spacing w:after="80"/>
      </w:pPr>
      <w:r>
        <w:rPr>
          <w:color w:val="1A1A2E"/>
          <w:sz w:val="22"/>
        </w:rPr>
        <w:t>Confirm the server is running and the portal loads (do this 10 minutes before, not live on stage)</w:t>
      </w:r>
    </w:p>
    <w:p>
      <w:pPr>
        <w:pStyle w:val="ListBullet"/>
        <w:spacing w:after="80"/>
      </w:pPr>
      <w:r>
        <w:rPr>
          <w:color w:val="1A1A2E"/>
          <w:sz w:val="22"/>
        </w:rPr>
        <w:t>Pick one component to search for that has a photo — "Arduino Uno" or "Raspberry Pi 4B 4GB Board" both work well and are recognizable to a non-technical audience</w:t>
      </w:r>
    </w:p>
    <w:p>
      <w:pPr>
        <w:pStyle w:val="ListBullet"/>
        <w:spacing w:after="80"/>
      </w:pPr>
      <w:r>
        <w:rPr>
          <w:color w:val="1A1A2E"/>
          <w:sz w:val="22"/>
        </w:rPr>
        <w:t>Close unrelated browser tabs; increase browser zoom to ~110% so text is readable on a projector</w:t>
      </w:r>
    </w:p>
    <w:p>
      <w:pPr>
        <w:pStyle w:val="ListBullet"/>
        <w:spacing w:after="80"/>
      </w:pPr>
      <w:r>
        <w:rPr>
          <w:color w:val="1A1A2E"/>
          <w:sz w:val="22"/>
        </w:rPr>
        <w:t>Have this script open on a phone or second screen — not visible to the audience</w:t>
      </w:r>
    </w:p>
    <w:p>
      <w:pPr>
        <w:pStyle w:val="ListBullet"/>
        <w:spacing w:after="80"/>
      </w:pPr>
      <w:r>
        <w:rPr>
          <w:color w:val="1A1A2E"/>
          <w:sz w:val="22"/>
        </w:rPr>
        <w:t>Decide in advance who clicks (you, or someone driving the laptop while you talk) so you can face the room</w:t>
      </w:r>
    </w:p>
    <w:p>
      <w:r>
        <w:br w:type="page"/>
      </w:r>
    </w:p>
    <w:p>
      <w:pPr>
        <w:pStyle w:val="Heading1"/>
        <w:spacing w:before="320" w:after="120"/>
      </w:pPr>
      <w:r>
        <w:rPr>
          <w:rFonts w:ascii="Calibri" w:hAnsi="Calibri"/>
          <w:color w:val="1A237E"/>
          <w:sz w:val="38"/>
        </w:rPr>
        <w:t>2. Opening — Set Up the Story (60 seconds)</w:t>
      </w:r>
    </w:p>
    <w:p>
      <w:pPr>
        <w:spacing w:after="120"/>
      </w:pPr>
      <w:r>
        <w:rPr>
          <w:b w:val="0"/>
          <w:i w:val="0"/>
          <w:color w:val="1A1A2E"/>
          <w:sz w:val="22"/>
        </w:rPr>
        <w:t>Don’t open on a screen. Open on the problem, in one breath, then show the numbers behind it.</w:t>
      </w:r>
    </w:p>
    <w:tbl>
      <w:tblPr>
        <w:tblW w:type="auto" w:w="0"/>
        <w:jc w:val="center"/>
        <w:tblLook w:firstColumn="1" w:firstRow="1" w:lastColumn="0" w:lastRow="0" w:noHBand="0" w:noVBand="1" w:val="04A0"/>
      </w:tblPr>
      <w:tblGrid>
        <w:gridCol w:w="9746"/>
      </w:tblGrid>
      <w:tr>
        <w:tc>
          <w:tcPr>
            <w:tcW w:type="dxa" w:w="9746"/>
            <w:shd w:fill="FFF3E0"/>
          </w:tcPr>
          <w:p>
            <w:pPr>
              <w:spacing w:before="80" w:after="80"/>
            </w:pPr>
            <w:r/>
            <w:r>
              <w:rPr>
                <w:b/>
                <w:color w:val="FF6D00"/>
                <w:sz w:val="21"/>
              </w:rPr>
              <w:t xml:space="preserve">SAY:  </w:t>
            </w:r>
            <w:r>
              <w:rPr>
                <w:i/>
                <w:color w:val="1A1A2E"/>
                <w:sz w:val="21"/>
              </w:rPr>
              <w:t>Until recently, every one of our 9 centers ran its own inventory in Excel. If a laptop was lost, that center’s entire component history was lost with it. Two people could edit the same file and overwrite each other. There was no way to see, from one place, what we owned, what it was worth, or who had it. What I’m going to show you replaces every one of those spreadsheets with one live system.</w:t>
            </w:r>
          </w:p>
        </w:tc>
      </w:tr>
    </w:tbl>
    <w:p>
      <w:pPr>
        <w:spacing w:after="80"/>
      </w:pPr>
    </w:p>
    <w:p>
      <w:pPr>
        <w:pStyle w:val="Heading2"/>
        <w:spacing w:before="320" w:after="120"/>
      </w:pPr>
      <w:r>
        <w:rPr>
          <w:rFonts w:ascii="Calibri" w:hAnsi="Calibri"/>
          <w:color w:val="1A237E"/>
          <w:sz w:val="29"/>
        </w:rPr>
        <w:t>2.1 Numbers to have ready (say these, don’t just show them)</w:t>
      </w:r>
    </w:p>
    <w:tbl>
      <w:tblPr>
        <w:tblStyle w:val="TableGrid"/>
        <w:tblW w:type="auto" w:w="0"/>
        <w:jc w:val="center"/>
        <w:tblLook w:firstColumn="1" w:firstRow="1" w:lastColumn="0" w:lastRow="0" w:noHBand="0" w:noVBand="1" w:val="04A0"/>
      </w:tblPr>
      <w:tblGrid>
        <w:gridCol w:w="4873"/>
        <w:gridCol w:w="4873"/>
      </w:tblGrid>
      <w:tr>
        <w:tc>
          <w:tcPr>
            <w:tcW w:type="dxa" w:w="4896"/>
            <w:shd w:fill="17355F"/>
          </w:tcPr>
          <w:p>
            <w:r>
              <w:rPr>
                <w:b/>
                <w:color w:val="FFFFFF"/>
                <w:sz w:val="21"/>
              </w:rPr>
              <w:t>Metric</w:t>
            </w:r>
          </w:p>
        </w:tc>
        <w:tc>
          <w:tcPr>
            <w:tcW w:type="dxa" w:w="4896"/>
            <w:shd w:fill="17355F"/>
          </w:tcPr>
          <w:p>
            <w:r>
              <w:rPr>
                <w:b/>
                <w:color w:val="FFFFFF"/>
                <w:sz w:val="21"/>
              </w:rPr>
              <w:t>Current Figure</w:t>
            </w:r>
          </w:p>
        </w:tc>
      </w:tr>
      <w:tr>
        <w:tc>
          <w:tcPr>
            <w:tcW w:type="dxa" w:w="4896"/>
          </w:tcPr>
          <w:p>
            <w:r>
              <w:rPr>
                <w:color w:val="1A1A2E"/>
                <w:sz w:val="20"/>
              </w:rPr>
              <w:t>Centers on the platform</w:t>
            </w:r>
          </w:p>
        </w:tc>
        <w:tc>
          <w:tcPr>
            <w:tcW w:type="dxa" w:w="4896"/>
          </w:tcPr>
          <w:p>
            <w:r>
              <w:rPr>
                <w:color w:val="1A1A2E"/>
                <w:sz w:val="20"/>
              </w:rPr>
              <w:t>9</w:t>
            </w:r>
          </w:p>
        </w:tc>
      </w:tr>
      <w:tr>
        <w:tc>
          <w:tcPr>
            <w:tcW w:type="dxa" w:w="4896"/>
          </w:tcPr>
          <w:p>
            <w:r>
              <w:rPr>
                <w:color w:val="1A1A2E"/>
                <w:sz w:val="20"/>
              </w:rPr>
              <w:t>Component types tracked (per center)</w:t>
            </w:r>
          </w:p>
        </w:tc>
        <w:tc>
          <w:tcPr>
            <w:tcW w:type="dxa" w:w="4896"/>
          </w:tcPr>
          <w:p>
            <w:r>
              <w:rPr>
                <w:color w:val="1A1A2E"/>
                <w:sz w:val="20"/>
              </w:rPr>
              <w:t>618</w:t>
            </w:r>
          </w:p>
        </w:tc>
      </w:tr>
      <w:tr>
        <w:tc>
          <w:tcPr>
            <w:tcW w:type="dxa" w:w="4896"/>
          </w:tcPr>
          <w:p>
            <w:r>
              <w:rPr>
                <w:color w:val="1A1A2E"/>
                <w:sz w:val="20"/>
              </w:rPr>
              <w:t>Individual physical units tracked</w:t>
            </w:r>
          </w:p>
        </w:tc>
        <w:tc>
          <w:tcPr>
            <w:tcW w:type="dxa" w:w="4896"/>
          </w:tcPr>
          <w:p>
            <w:r>
              <w:rPr>
                <w:color w:val="1A1A2E"/>
                <w:sz w:val="20"/>
              </w:rPr>
              <w:t>66,452</w:t>
            </w:r>
          </w:p>
        </w:tc>
      </w:tr>
      <w:tr>
        <w:tc>
          <w:tcPr>
            <w:tcW w:type="dxa" w:w="4896"/>
          </w:tcPr>
          <w:p>
            <w:r>
              <w:rPr>
                <w:color w:val="1A1A2E"/>
                <w:sz w:val="20"/>
              </w:rPr>
              <w:t>Units currently available to issue</w:t>
            </w:r>
          </w:p>
        </w:tc>
        <w:tc>
          <w:tcPr>
            <w:tcW w:type="dxa" w:w="4896"/>
          </w:tcPr>
          <w:p>
            <w:r>
              <w:rPr>
                <w:color w:val="1A1A2E"/>
                <w:sz w:val="20"/>
              </w:rPr>
              <w:t>33,670</w:t>
            </w:r>
          </w:p>
        </w:tc>
      </w:tr>
      <w:tr>
        <w:tc>
          <w:tcPr>
            <w:tcW w:type="dxa" w:w="4896"/>
          </w:tcPr>
          <w:p>
            <w:r>
              <w:rPr>
                <w:color w:val="1A1A2E"/>
                <w:sz w:val="20"/>
              </w:rPr>
              <w:t>Live tracked inventory value</w:t>
            </w:r>
          </w:p>
        </w:tc>
        <w:tc>
          <w:tcPr>
            <w:tcW w:type="dxa" w:w="4896"/>
          </w:tcPr>
          <w:p>
            <w:r>
              <w:rPr>
                <w:color w:val="1A1A2E"/>
                <w:sz w:val="20"/>
              </w:rPr>
              <w:t>₹82,84,118</w:t>
            </w:r>
          </w:p>
        </w:tc>
      </w:tr>
      <w:tr>
        <w:tc>
          <w:tcPr>
            <w:tcW w:type="dxa" w:w="4896"/>
          </w:tcPr>
          <w:p>
            <w:r>
              <w:rPr>
                <w:color w:val="1A1A2E"/>
                <w:sz w:val="20"/>
              </w:rPr>
              <w:t>Purchase invoices recorded</w:t>
            </w:r>
          </w:p>
        </w:tc>
        <w:tc>
          <w:tcPr>
            <w:tcW w:type="dxa" w:w="4896"/>
          </w:tcPr>
          <w:p>
            <w:r>
              <w:rPr>
                <w:color w:val="1A1A2E"/>
                <w:sz w:val="20"/>
              </w:rPr>
              <w:t>71</w:t>
            </w:r>
          </w:p>
        </w:tc>
      </w:tr>
      <w:tr>
        <w:tc>
          <w:tcPr>
            <w:tcW w:type="dxa" w:w="4896"/>
          </w:tcPr>
          <w:p>
            <w:r>
              <w:rPr>
                <w:color w:val="1A1A2E"/>
                <w:sz w:val="20"/>
              </w:rPr>
              <w:t>Spend tracked — ComedK</w:t>
            </w:r>
          </w:p>
        </w:tc>
        <w:tc>
          <w:tcPr>
            <w:tcW w:type="dxa" w:w="4896"/>
          </w:tcPr>
          <w:p>
            <w:r>
              <w:rPr>
                <w:color w:val="1A1A2E"/>
                <w:sz w:val="20"/>
              </w:rPr>
              <w:t>₹97,03,633 across 62 invoices</w:t>
            </w:r>
          </w:p>
        </w:tc>
      </w:tr>
      <w:tr>
        <w:tc>
          <w:tcPr>
            <w:tcW w:type="dxa" w:w="4896"/>
          </w:tcPr>
          <w:p>
            <w:r>
              <w:rPr>
                <w:color w:val="1A1A2E"/>
                <w:sz w:val="20"/>
              </w:rPr>
              <w:t>Spend tracked — ERA Foundation</w:t>
            </w:r>
          </w:p>
        </w:tc>
        <w:tc>
          <w:tcPr>
            <w:tcW w:type="dxa" w:w="4896"/>
          </w:tcPr>
          <w:p>
            <w:r>
              <w:rPr>
                <w:color w:val="1A1A2E"/>
                <w:sz w:val="20"/>
              </w:rPr>
              <w:t>₹84,671 across 9 invoices</w:t>
            </w:r>
          </w:p>
        </w:tc>
      </w:tr>
      <w:tr>
        <w:tc>
          <w:tcPr>
            <w:tcW w:type="dxa" w:w="4896"/>
          </w:tcPr>
          <w:p>
            <w:r>
              <w:rPr>
                <w:color w:val="1A1A2E"/>
                <w:sz w:val="20"/>
              </w:rPr>
              <w:t>Programs/internships tracked</w:t>
            </w:r>
          </w:p>
        </w:tc>
        <w:tc>
          <w:tcPr>
            <w:tcW w:type="dxa" w:w="4896"/>
          </w:tcPr>
          <w:p>
            <w:r>
              <w:rPr>
                <w:color w:val="1A1A2E"/>
                <w:sz w:val="20"/>
              </w:rPr>
              <w:t>7</w:t>
            </w:r>
          </w:p>
        </w:tc>
      </w:tr>
    </w:tbl>
    <w:p>
      <w:pPr>
        <w:spacing w:after="80"/>
      </w:pPr>
    </w:p>
    <w:p>
      <w:pPr>
        <w:spacing w:after="120"/>
      </w:pPr>
      <w:r>
        <w:rPr>
          <w:b w:val="0"/>
          <w:i/>
          <w:color w:val="6B7280"/>
          <w:sz w:val="19"/>
        </w:rPr>
        <w:t>These are pulled live from the system today — update this table again right before you present if time has passed.</w:t>
      </w:r>
    </w:p>
    <w:p>
      <w:r>
        <w:br w:type="page"/>
      </w:r>
    </w:p>
    <w:p>
      <w:pPr>
        <w:pStyle w:val="Heading1"/>
        <w:spacing w:before="320" w:after="120"/>
      </w:pPr>
      <w:r>
        <w:rPr>
          <w:rFonts w:ascii="Calibri" w:hAnsi="Calibri"/>
          <w:color w:val="1A237E"/>
          <w:sz w:val="38"/>
        </w:rPr>
        <w:t>3. Part 1 — A Student Requests a Component</w:t>
      </w:r>
    </w:p>
    <w:tbl>
      <w:tblPr>
        <w:tblW w:type="auto" w:w="0"/>
        <w:jc w:val="center"/>
        <w:tblLook w:firstColumn="1" w:firstRow="1" w:lastColumn="0" w:lastRow="0" w:noHBand="0" w:noVBand="1" w:val="04A0"/>
      </w:tblPr>
      <w:tblGrid>
        <w:gridCol w:w="9746"/>
      </w:tblGrid>
      <w:tr>
        <w:tc>
          <w:tcPr>
            <w:tcW w:type="dxa" w:w="9746"/>
            <w:shd w:fill="FFF3E0"/>
          </w:tcPr>
          <w:p>
            <w:pPr>
              <w:spacing w:before="80" w:after="80"/>
            </w:pPr>
            <w:r/>
            <w:r>
              <w:rPr>
                <w:b/>
                <w:color w:val="FF6D00"/>
                <w:sz w:val="21"/>
              </w:rPr>
              <w:t xml:space="preserve">SAY:  </w:t>
            </w:r>
            <w:r>
              <w:rPr>
                <w:i/>
                <w:color w:val="1A1A2E"/>
                <w:sz w:val="21"/>
              </w:rPr>
              <w:t>Let’s start where everything begins — a student who needs a part for their project.</w:t>
            </w:r>
          </w:p>
        </w:tc>
      </w:tr>
    </w:tbl>
    <w:p>
      <w:pPr>
        <w:spacing w:after="80"/>
      </w:pPr>
    </w:p>
    <w:tbl>
      <w:tblPr>
        <w:tblW w:type="auto" w:w="0"/>
        <w:jc w:val="center"/>
        <w:tblLook w:firstColumn="1" w:firstRow="1" w:lastColumn="0" w:lastRow="0" w:noHBand="0" w:noVBand="1" w:val="04A0"/>
      </w:tblPr>
      <w:tblGrid>
        <w:gridCol w:w="9746"/>
      </w:tblGrid>
      <w:tr>
        <w:tc>
          <w:tcPr>
            <w:tcW w:type="dxa" w:w="9746"/>
            <w:shd w:fill="E8EAF6"/>
          </w:tcPr>
          <w:p>
            <w:pPr>
              <w:spacing w:before="80" w:after="80"/>
            </w:pPr>
            <w:r>
              <w:rPr>
                <w:b/>
                <w:color w:val="1A237E"/>
                <w:sz w:val="21"/>
              </w:rPr>
              <w:t xml:space="preserve">DO:  </w:t>
            </w:r>
            <w:r>
              <w:rPr>
                <w:color w:val="1A1A2E"/>
                <w:sz w:val="21"/>
              </w:rPr>
              <w:t>Switch to Tab 1 (jp_nagar_student), already on the Browse page.</w:t>
            </w:r>
          </w:p>
        </w:tc>
      </w:tr>
    </w:tbl>
    <w:p>
      <w:pPr>
        <w:spacing w:after="80"/>
      </w:pPr>
    </w:p>
    <w:p>
      <w:pPr>
        <w:spacing w:after="120"/>
      </w:pPr>
      <w:r>
        <w:rPr>
          <w:b w:val="0"/>
          <w:i w:val="0"/>
          <w:color w:val="1A1A2E"/>
          <w:sz w:val="22"/>
        </w:rPr>
        <w:t>Walk through:</w:t>
      </w:r>
    </w:p>
    <w:p>
      <w:pPr>
        <w:pStyle w:val="ListBullet"/>
        <w:spacing w:after="80"/>
      </w:pPr>
      <w:r>
        <w:rPr>
          <w:color w:val="1A1A2E"/>
          <w:sz w:val="22"/>
        </w:rPr>
        <w:t>Search for your chosen component (e.g. "Arduino Uno") — point out the live stock count and the photo</w:t>
      </w:r>
    </w:p>
    <w:p>
      <w:pPr>
        <w:pStyle w:val="ListBullet"/>
        <w:spacing w:after="80"/>
      </w:pPr>
      <w:r>
        <w:rPr>
          <w:color w:val="1A1A2E"/>
          <w:sz w:val="22"/>
        </w:rPr>
        <w:t>Click into the component to show Component Details — description, availability, all real data</w:t>
      </w:r>
    </w:p>
    <w:p>
      <w:pPr>
        <w:pStyle w:val="ListBullet"/>
        <w:spacing w:after="80"/>
      </w:pPr>
      <w:r>
        <w:rPr>
          <w:color w:val="1A1A2E"/>
          <w:sz w:val="22"/>
        </w:rPr>
        <w:t>Click "Add to Cart"</w:t>
      </w:r>
    </w:p>
    <w:p>
      <w:pPr>
        <w:pStyle w:val="ListBullet"/>
        <w:spacing w:after="80"/>
      </w:pPr>
      <w:r>
        <w:rPr>
          <w:color w:val="1A1A2E"/>
          <w:sz w:val="22"/>
        </w:rPr>
        <w:t>Open Cart, show the running list, click "Submit Request"</w:t>
      </w:r>
    </w:p>
    <w:tbl>
      <w:tblPr>
        <w:tblW w:type="auto" w:w="0"/>
        <w:jc w:val="center"/>
        <w:tblLook w:firstColumn="1" w:firstRow="1" w:lastColumn="0" w:lastRow="0" w:noHBand="0" w:noVBand="1" w:val="04A0"/>
      </w:tblPr>
      <w:tblGrid>
        <w:gridCol w:w="9746"/>
      </w:tblGrid>
      <w:tr>
        <w:tc>
          <w:tcPr>
            <w:tcW w:type="dxa" w:w="9746"/>
            <w:shd w:fill="FFF3E0"/>
          </w:tcPr>
          <w:p>
            <w:pPr>
              <w:spacing w:before="80" w:after="80"/>
            </w:pPr>
            <w:r/>
            <w:r>
              <w:rPr>
                <w:b/>
                <w:color w:val="FF6D00"/>
                <w:sz w:val="21"/>
              </w:rPr>
              <w:t xml:space="preserve">SAY:  </w:t>
            </w:r>
            <w:r>
              <w:rPr>
                <w:i/>
                <w:color w:val="1A1A2E"/>
                <w:sz w:val="21"/>
              </w:rPr>
              <w:t>That’s it from the student’s side — no training needed, no calling the center, no waiting for someone to check a spreadsheet. And critically — watch what happens on the admin side right now, in real time.</w:t>
            </w:r>
          </w:p>
        </w:tc>
      </w:tr>
    </w:tbl>
    <w:p>
      <w:pPr>
        <w:spacing w:after="80"/>
      </w:pPr>
    </w:p>
    <w:p>
      <w:r>
        <w:br w:type="page"/>
      </w:r>
    </w:p>
    <w:p>
      <w:pPr>
        <w:pStyle w:val="Heading1"/>
        <w:spacing w:before="320" w:after="120"/>
      </w:pPr>
      <w:r>
        <w:rPr>
          <w:rFonts w:ascii="Calibri" w:hAnsi="Calibri"/>
          <w:color w:val="1A237E"/>
          <w:sz w:val="38"/>
        </w:rPr>
        <w:t>4. Part 2 — The Admin Sees It Instantly</w:t>
      </w:r>
    </w:p>
    <w:tbl>
      <w:tblPr>
        <w:tblW w:type="auto" w:w="0"/>
        <w:jc w:val="center"/>
        <w:tblLook w:firstColumn="1" w:firstRow="1" w:lastColumn="0" w:lastRow="0" w:noHBand="0" w:noVBand="1" w:val="04A0"/>
      </w:tblPr>
      <w:tblGrid>
        <w:gridCol w:w="9746"/>
      </w:tblGrid>
      <w:tr>
        <w:tc>
          <w:tcPr>
            <w:tcW w:type="dxa" w:w="9746"/>
            <w:shd w:fill="E8EAF6"/>
          </w:tcPr>
          <w:p>
            <w:pPr>
              <w:spacing w:before="80" w:after="80"/>
            </w:pPr>
            <w:r>
              <w:rPr>
                <w:b/>
                <w:color w:val="1A237E"/>
                <w:sz w:val="21"/>
              </w:rPr>
              <w:t xml:space="preserve">DO:  </w:t>
            </w:r>
            <w:r>
              <w:rPr>
                <w:color w:val="1A1A2E"/>
                <w:sz w:val="21"/>
              </w:rPr>
              <w:t>Switch to Tab 2 (jp_nagar_admin), navigate to Orders. Refresh if needed.</w:t>
            </w:r>
          </w:p>
        </w:tc>
      </w:tr>
    </w:tbl>
    <w:p>
      <w:pPr>
        <w:spacing w:after="80"/>
      </w:pPr>
    </w:p>
    <w:tbl>
      <w:tblPr>
        <w:tblW w:type="auto" w:w="0"/>
        <w:jc w:val="center"/>
        <w:tblLook w:firstColumn="1" w:firstRow="1" w:lastColumn="0" w:lastRow="0" w:noHBand="0" w:noVBand="1" w:val="04A0"/>
      </w:tblPr>
      <w:tblGrid>
        <w:gridCol w:w="9746"/>
      </w:tblGrid>
      <w:tr>
        <w:tc>
          <w:tcPr>
            <w:tcW w:type="dxa" w:w="9746"/>
            <w:shd w:fill="FFF3E0"/>
          </w:tcPr>
          <w:p>
            <w:pPr>
              <w:spacing w:before="80" w:after="80"/>
            </w:pPr>
            <w:r/>
            <w:r>
              <w:rPr>
                <w:b/>
                <w:color w:val="FF6D00"/>
                <w:sz w:val="21"/>
              </w:rPr>
              <w:t xml:space="preserve">SAY:  </w:t>
            </w:r>
            <w:r>
              <w:rPr>
                <w:i/>
                <w:color w:val="1A1A2E"/>
                <w:sz w:val="21"/>
              </w:rPr>
              <w:t>That request the student just submitted a few seconds ago is already sitting here — Pending. Not end-of-day, not after someone opens a shared file. Right now.</w:t>
            </w:r>
          </w:p>
        </w:tc>
      </w:tr>
    </w:tbl>
    <w:p>
      <w:pPr>
        <w:spacing w:after="80"/>
      </w:pPr>
    </w:p>
    <w:p>
      <w:pPr>
        <w:spacing w:after="120"/>
      </w:pPr>
      <w:r>
        <w:rPr>
          <w:b w:val="0"/>
          <w:i w:val="0"/>
          <w:color w:val="1A1A2E"/>
          <w:sz w:val="22"/>
        </w:rPr>
        <w:t>Walk through:</w:t>
      </w:r>
    </w:p>
    <w:p>
      <w:pPr>
        <w:pStyle w:val="ListBullet"/>
        <w:spacing w:after="80"/>
      </w:pPr>
      <w:r>
        <w:rPr>
          <w:color w:val="1A1A2E"/>
          <w:sz w:val="22"/>
        </w:rPr>
        <w:t>Open the pending request, show the requested item(s) and quantity</w:t>
      </w:r>
    </w:p>
    <w:p>
      <w:pPr>
        <w:pStyle w:val="ListBullet"/>
        <w:spacing w:after="80"/>
      </w:pPr>
      <w:r>
        <w:rPr>
          <w:color w:val="1A1A2E"/>
          <w:sz w:val="22"/>
        </w:rPr>
        <w:t>Click "Approve" — show the "Approve &amp; Issue Components" screen, point out you can adjust quantity if something’s short</w:t>
      </w:r>
    </w:p>
    <w:p>
      <w:pPr>
        <w:pStyle w:val="ListBullet"/>
        <w:spacing w:after="80"/>
      </w:pPr>
      <w:r>
        <w:rPr>
          <w:color w:val="1A1A2E"/>
          <w:sz w:val="22"/>
        </w:rPr>
        <w:t>Click "Confirm Approval"</w:t>
      </w:r>
    </w:p>
    <w:tbl>
      <w:tblPr>
        <w:tblW w:type="auto" w:w="0"/>
        <w:jc w:val="center"/>
        <w:tblLook w:firstColumn="1" w:firstRow="1" w:lastColumn="0" w:lastRow="0" w:noHBand="0" w:noVBand="1" w:val="04A0"/>
      </w:tblPr>
      <w:tblGrid>
        <w:gridCol w:w="9746"/>
      </w:tblGrid>
      <w:tr>
        <w:tc>
          <w:tcPr>
            <w:tcW w:type="dxa" w:w="9746"/>
            <w:shd w:fill="FFF3E0"/>
          </w:tcPr>
          <w:p>
            <w:pPr>
              <w:spacing w:before="80" w:after="80"/>
            </w:pPr>
            <w:r/>
            <w:r>
              <w:rPr>
                <w:b/>
                <w:color w:val="FF6D00"/>
                <w:sz w:val="21"/>
              </w:rPr>
              <w:t xml:space="preserve">SAY:  </w:t>
            </w:r>
            <w:r>
              <w:rPr>
                <w:i/>
                <w:color w:val="1A1A2E"/>
                <w:sz w:val="21"/>
              </w:rPr>
              <w:t>One click, and those physical units are now marked Issued to that student — not just a status label, the actual tracked units. If we ever need to know exactly which unit is with which student, that’s answered instantly, for every one of the 66,000+ units in the system.</w:t>
            </w:r>
          </w:p>
        </w:tc>
      </w:tr>
    </w:tbl>
    <w:p>
      <w:pPr>
        <w:spacing w:after="80"/>
      </w:pPr>
    </w:p>
    <w:p>
      <w:pPr>
        <w:pStyle w:val="Heading2"/>
        <w:spacing w:before="320" w:after="120"/>
      </w:pPr>
      <w:r>
        <w:rPr>
          <w:rFonts w:ascii="Calibri" w:hAnsi="Calibri"/>
          <w:color w:val="1A237E"/>
          <w:sz w:val="29"/>
        </w:rPr>
        <w:t>4.1 Bonus, if time allows: Inventory &amp; Invoices</w:t>
      </w:r>
    </w:p>
    <w:p>
      <w:pPr>
        <w:pStyle w:val="ListBullet"/>
        <w:spacing w:after="80"/>
      </w:pPr>
      <w:r>
        <w:rPr>
          <w:b/>
          <w:color w:val="1A1A2E"/>
          <w:sz w:val="22"/>
        </w:rPr>
        <w:t xml:space="preserve">Inventory — </w:t>
      </w:r>
      <w:r>
        <w:rPr>
          <w:color w:val="1A1A2E"/>
          <w:sz w:val="22"/>
        </w:rPr>
        <w:t>open the Inventory tab, click "View Units" on any component to show every physical unit individually, with its own tag, purchase price, vendor, and current status.</w:t>
      </w:r>
    </w:p>
    <w:p>
      <w:pPr>
        <w:pStyle w:val="ListBullet"/>
        <w:spacing w:after="80"/>
      </w:pPr>
      <w:r>
        <w:rPr>
          <w:b/>
          <w:color w:val="1A1A2E"/>
          <w:sz w:val="22"/>
        </w:rPr>
        <w:t xml:space="preserve">Invoices — </w:t>
      </w:r>
      <w:r>
        <w:rPr>
          <w:color w:val="1A1A2E"/>
          <w:sz w:val="22"/>
        </w:rPr>
        <w:t>open Invoices, show how a real purchase (vendor, GST, business head, program) becomes tracked stock the moment it’s entered — no separate step to "add to inventory."</w:t>
      </w:r>
    </w:p>
    <w:p>
      <w:r>
        <w:br w:type="page"/>
      </w:r>
    </w:p>
    <w:p>
      <w:pPr>
        <w:pStyle w:val="Heading1"/>
        <w:spacing w:before="320" w:after="120"/>
      </w:pPr>
      <w:r>
        <w:rPr>
          <w:rFonts w:ascii="Calibri" w:hAnsi="Calibri"/>
          <w:color w:val="1A237E"/>
          <w:sz w:val="38"/>
        </w:rPr>
        <w:t>5. Part 3 — Org-Wide Control (Super Admin)</w:t>
      </w:r>
    </w:p>
    <w:tbl>
      <w:tblPr>
        <w:tblW w:type="auto" w:w="0"/>
        <w:jc w:val="center"/>
        <w:tblLook w:firstColumn="1" w:firstRow="1" w:lastColumn="0" w:lastRow="0" w:noHBand="0" w:noVBand="1" w:val="04A0"/>
      </w:tblPr>
      <w:tblGrid>
        <w:gridCol w:w="9746"/>
      </w:tblGrid>
      <w:tr>
        <w:tc>
          <w:tcPr>
            <w:tcW w:type="dxa" w:w="9746"/>
            <w:shd w:fill="FFF3E0"/>
          </w:tcPr>
          <w:p>
            <w:pPr>
              <w:spacing w:before="80" w:after="80"/>
            </w:pPr>
            <w:r/>
            <w:r>
              <w:rPr>
                <w:b/>
                <w:color w:val="FF6D00"/>
                <w:sz w:val="21"/>
              </w:rPr>
              <w:t xml:space="preserve">SAY:  </w:t>
            </w:r>
            <w:r>
              <w:rPr>
                <w:i/>
                <w:color w:val="1A1A2E"/>
                <w:sz w:val="21"/>
              </w:rPr>
              <w:t>Everything so far was one center. Now let’s step back and see all 9 at once — this is the view that didn’t exist at all before this system.</w:t>
            </w:r>
          </w:p>
        </w:tc>
      </w:tr>
    </w:tbl>
    <w:p>
      <w:pPr>
        <w:spacing w:after="80"/>
      </w:pPr>
    </w:p>
    <w:tbl>
      <w:tblPr>
        <w:tblW w:type="auto" w:w="0"/>
        <w:jc w:val="center"/>
        <w:tblLook w:firstColumn="1" w:firstRow="1" w:lastColumn="0" w:lastRow="0" w:noHBand="0" w:noVBand="1" w:val="04A0"/>
      </w:tblPr>
      <w:tblGrid>
        <w:gridCol w:w="9746"/>
      </w:tblGrid>
      <w:tr>
        <w:tc>
          <w:tcPr>
            <w:tcW w:type="dxa" w:w="9746"/>
            <w:shd w:fill="E8EAF6"/>
          </w:tcPr>
          <w:p>
            <w:pPr>
              <w:spacing w:before="80" w:after="80"/>
            </w:pPr>
            <w:r>
              <w:rPr>
                <w:b/>
                <w:color w:val="1A237E"/>
                <w:sz w:val="21"/>
              </w:rPr>
              <w:t xml:space="preserve">DO:  </w:t>
            </w:r>
            <w:r>
              <w:rPr>
                <w:color w:val="1A1A2E"/>
                <w:sz w:val="21"/>
              </w:rPr>
              <w:t>Switch to Tab 3 (superadmin), start on the Dashboard.</w:t>
            </w:r>
          </w:p>
        </w:tc>
      </w:tr>
    </w:tbl>
    <w:p>
      <w:pPr>
        <w:spacing w:after="80"/>
      </w:pPr>
    </w:p>
    <w:p>
      <w:pPr>
        <w:spacing w:after="120"/>
      </w:pPr>
      <w:r>
        <w:rPr>
          <w:b w:val="0"/>
          <w:i w:val="0"/>
          <w:color w:val="1A1A2E"/>
          <w:sz w:val="22"/>
        </w:rPr>
        <w:t>Walk through:</w:t>
      </w:r>
    </w:p>
    <w:p>
      <w:pPr>
        <w:pStyle w:val="ListBullet"/>
        <w:spacing w:after="80"/>
      </w:pPr>
      <w:r>
        <w:rPr>
          <w:color w:val="1A1A2E"/>
          <w:sz w:val="22"/>
        </w:rPr>
        <w:t>Point out the Dashboard is showing every center at once — switch the center filter to show it can also drill into just one</w:t>
      </w:r>
    </w:p>
    <w:p>
      <w:pPr>
        <w:pStyle w:val="ListBullet"/>
        <w:spacing w:after="80"/>
      </w:pPr>
      <w:r>
        <w:rPr>
          <w:color w:val="1A1A2E"/>
          <w:sz w:val="22"/>
        </w:rPr>
        <w:t>Point out the ComedK vs. ERA Foundation value split — this answers "how much have we spent on each" without anyone building a report by hand</w:t>
      </w:r>
    </w:p>
    <w:p>
      <w:pPr>
        <w:pStyle w:val="ListBullet"/>
        <w:spacing w:after="80"/>
      </w:pPr>
      <w:r>
        <w:rPr>
          <w:color w:val="1A1A2E"/>
          <w:sz w:val="22"/>
        </w:rPr>
        <w:t>Open Analytics (super admin only) — show the charts; this is org-wide trend visibility that simply didn’t exist in V1</w:t>
      </w:r>
    </w:p>
    <w:p>
      <w:pPr>
        <w:pStyle w:val="Heading2"/>
        <w:spacing w:before="320" w:after="120"/>
      </w:pPr>
      <w:r>
        <w:rPr>
          <w:rFonts w:ascii="Calibri" w:hAnsi="Calibri"/>
          <w:color w:val="1A237E"/>
          <w:sz w:val="29"/>
        </w:rPr>
        <w:t>5.1 Security, in plain terms</w:t>
      </w:r>
    </w:p>
    <w:tbl>
      <w:tblPr>
        <w:tblW w:type="auto" w:w="0"/>
        <w:jc w:val="center"/>
        <w:tblLook w:firstColumn="1" w:firstRow="1" w:lastColumn="0" w:lastRow="0" w:noHBand="0" w:noVBand="1" w:val="04A0"/>
      </w:tblPr>
      <w:tblGrid>
        <w:gridCol w:w="9746"/>
      </w:tblGrid>
      <w:tr>
        <w:tc>
          <w:tcPr>
            <w:tcW w:type="dxa" w:w="9746"/>
            <w:shd w:fill="FFF3E0"/>
          </w:tcPr>
          <w:p>
            <w:pPr>
              <w:spacing w:before="80" w:after="80"/>
            </w:pPr>
            <w:r/>
            <w:r>
              <w:rPr>
                <w:b/>
                <w:color w:val="FF6D00"/>
                <w:sz w:val="21"/>
              </w:rPr>
              <w:t xml:space="preserve">SAY:  </w:t>
            </w:r>
            <w:r>
              <w:rPr>
                <w:i/>
                <w:color w:val="1A1A2E"/>
                <w:sz w:val="21"/>
              </w:rPr>
              <w:t>One more thing worth pointing out, because it’s easy to miss and it matters: not every action is available to everyone. A center admin can run their day-to-day — approve orders, log purchases — but only a Super Admin can rename or delete a component, or grant someone else admin access. That boundary is enforced by the system itself, not just hidden in the menu.</w:t>
            </w:r>
          </w:p>
        </w:tc>
      </w:tr>
    </w:tbl>
    <w:p>
      <w:pPr>
        <w:spacing w:after="80"/>
      </w:pPr>
    </w:p>
    <w:tbl>
      <w:tblPr>
        <w:tblW w:type="auto" w:w="0"/>
        <w:jc w:val="center"/>
        <w:tblLook w:firstColumn="1" w:firstRow="1" w:lastColumn="0" w:lastRow="0" w:noHBand="0" w:noVBand="1" w:val="04A0"/>
      </w:tblPr>
      <w:tblGrid>
        <w:gridCol w:w="9746"/>
      </w:tblGrid>
      <w:tr>
        <w:tc>
          <w:tcPr>
            <w:tcW w:type="dxa" w:w="9746"/>
            <w:shd w:fill="E8EAF6"/>
          </w:tcPr>
          <w:p>
            <w:pPr>
              <w:spacing w:before="80" w:after="80"/>
            </w:pPr>
            <w:r>
              <w:rPr>
                <w:b/>
                <w:color w:val="1A237E"/>
                <w:sz w:val="21"/>
              </w:rPr>
              <w:t xml:space="preserve">DO:  </w:t>
            </w:r>
            <w:r>
              <w:rPr>
                <w:color w:val="1A1A2E"/>
                <w:sz w:val="21"/>
              </w:rPr>
              <w:t>Open Users. Point out the role field, and that "Super Admin" is not even offered as an option unless you’re already a Super Admin.</w:t>
            </w:r>
          </w:p>
        </w:tc>
      </w:tr>
    </w:tbl>
    <w:p>
      <w:pPr>
        <w:spacing w:after="80"/>
      </w:pPr>
    </w:p>
    <w:p>
      <w:pPr>
        <w:pStyle w:val="Heading2"/>
        <w:spacing w:before="320" w:after="120"/>
      </w:pPr>
      <w:r>
        <w:rPr>
          <w:rFonts w:ascii="Calibri" w:hAnsi="Calibri"/>
          <w:color w:val="1A237E"/>
          <w:sz w:val="29"/>
        </w:rPr>
        <w:t>5.2 Transfers (if time allows)</w:t>
      </w:r>
    </w:p>
    <w:p>
      <w:pPr>
        <w:spacing w:after="120"/>
      </w:pPr>
      <w:r>
        <w:rPr>
          <w:b w:val="0"/>
          <w:i w:val="0"/>
          <w:color w:val="1A1A2E"/>
          <w:sz w:val="22"/>
        </w:rPr>
        <w:t>Open Transfers and explain: when one center is short on a component another center has spare stock of, this is a formal request → approval → movement, with the actual units reassigned to the receiving center’s inventory — not a WhatsApp message and a manual spreadsheet edit.</w:t>
      </w:r>
    </w:p>
    <w:p>
      <w:r>
        <w:br w:type="page"/>
      </w:r>
    </w:p>
    <w:p>
      <w:pPr>
        <w:pStyle w:val="Heading1"/>
        <w:spacing w:before="320" w:after="120"/>
      </w:pPr>
      <w:r>
        <w:rPr>
          <w:rFonts w:ascii="Calibri" w:hAnsi="Calibri"/>
          <w:color w:val="1A237E"/>
          <w:sz w:val="38"/>
        </w:rPr>
        <w:t>6. Part 4 — Closing the Loop: Nothing Gets Lost</w:t>
      </w:r>
    </w:p>
    <w:tbl>
      <w:tblPr>
        <w:tblW w:type="auto" w:w="0"/>
        <w:jc w:val="center"/>
        <w:tblLook w:firstColumn="1" w:firstRow="1" w:lastColumn="0" w:lastRow="0" w:noHBand="0" w:noVBand="1" w:val="04A0"/>
      </w:tblPr>
      <w:tblGrid>
        <w:gridCol w:w="9746"/>
      </w:tblGrid>
      <w:tr>
        <w:tc>
          <w:tcPr>
            <w:tcW w:type="dxa" w:w="9746"/>
            <w:shd w:fill="FFF3E0"/>
          </w:tcPr>
          <w:p>
            <w:pPr>
              <w:spacing w:before="80" w:after="80"/>
            </w:pPr>
            <w:r/>
            <w:r>
              <w:rPr>
                <w:b/>
                <w:color w:val="FF6D00"/>
                <w:sz w:val="21"/>
              </w:rPr>
              <w:t xml:space="preserve">SAY:  </w:t>
            </w:r>
            <w:r>
              <w:rPr>
                <w:i/>
                <w:color w:val="1A1A2E"/>
                <w:sz w:val="21"/>
              </w:rPr>
              <w:t>Let’s finish the story we started — the component that student picked up a few minutes ago.</w:t>
            </w:r>
          </w:p>
        </w:tc>
      </w:tr>
    </w:tbl>
    <w:p>
      <w:pPr>
        <w:spacing w:after="80"/>
      </w:pPr>
    </w:p>
    <w:tbl>
      <w:tblPr>
        <w:tblW w:type="auto" w:w="0"/>
        <w:jc w:val="center"/>
        <w:tblLook w:firstColumn="1" w:firstRow="1" w:lastColumn="0" w:lastRow="0" w:noHBand="0" w:noVBand="1" w:val="04A0"/>
      </w:tblPr>
      <w:tblGrid>
        <w:gridCol w:w="9746"/>
      </w:tblGrid>
      <w:tr>
        <w:tc>
          <w:tcPr>
            <w:tcW w:type="dxa" w:w="9746"/>
            <w:shd w:fill="E8EAF6"/>
          </w:tcPr>
          <w:p>
            <w:pPr>
              <w:spacing w:before="80" w:after="80"/>
            </w:pPr>
            <w:r>
              <w:rPr>
                <w:b/>
                <w:color w:val="1A237E"/>
                <w:sz w:val="21"/>
              </w:rPr>
              <w:t xml:space="preserve">DO:  </w:t>
            </w:r>
            <w:r>
              <w:rPr>
                <w:color w:val="1A1A2E"/>
                <w:sz w:val="21"/>
              </w:rPr>
              <w:t>Back to Tab 2 (jp_nagar_admin) → Orders → find that same order.</w:t>
            </w:r>
          </w:p>
        </w:tc>
      </w:tr>
    </w:tbl>
    <w:p>
      <w:pPr>
        <w:spacing w:after="80"/>
      </w:pPr>
    </w:p>
    <w:p>
      <w:pPr>
        <w:pStyle w:val="ListBullet"/>
        <w:spacing w:after="80"/>
      </w:pPr>
      <w:r>
        <w:rPr>
          <w:color w:val="1A1A2E"/>
          <w:sz w:val="22"/>
        </w:rPr>
        <w:t>Show the order status has moved to reflect issue; when a return comes in it moves through Return Requested → the admin uses "Record Returned Items" to confirm condition</w:t>
      </w:r>
    </w:p>
    <w:p>
      <w:pPr>
        <w:pStyle w:val="ListBullet"/>
        <w:spacing w:after="80"/>
      </w:pPr>
      <w:r>
        <w:rPr>
          <w:color w:val="1A1A2E"/>
          <w:sz w:val="22"/>
        </w:rPr>
        <w:t>If a unit came back damaged: it gets marked Damaged/Consumed, and — this is the detail worth emphasizing — the system records *which program* it was in use for at the time, even if it was originally bought for a different one</w:t>
      </w:r>
    </w:p>
    <w:tbl>
      <w:tblPr>
        <w:tblW w:type="auto" w:w="0"/>
        <w:jc w:val="center"/>
        <w:tblLook w:firstColumn="1" w:firstRow="1" w:lastColumn="0" w:lastRow="0" w:noHBand="0" w:noVBand="1" w:val="04A0"/>
      </w:tblPr>
      <w:tblGrid>
        <w:gridCol w:w="9746"/>
      </w:tblGrid>
      <w:tr>
        <w:tc>
          <w:tcPr>
            <w:tcW w:type="dxa" w:w="9746"/>
            <w:shd w:fill="FFF3E0"/>
          </w:tcPr>
          <w:p>
            <w:pPr>
              <w:spacing w:before="80" w:after="80"/>
            </w:pPr>
            <w:r/>
            <w:r>
              <w:rPr>
                <w:b/>
                <w:color w:val="FF6D00"/>
                <w:sz w:val="21"/>
              </w:rPr>
              <w:t xml:space="preserve">SAY:  </w:t>
            </w:r>
            <w:r>
              <w:rPr>
                <w:i/>
                <w:color w:val="1A1A2E"/>
                <w:sz w:val="21"/>
              </w:rPr>
              <w:t>That single detail used to be impossible to answer reliably. Now it’s automatic, every time.</w:t>
            </w:r>
          </w:p>
        </w:tc>
      </w:tr>
    </w:tbl>
    <w:p>
      <w:pPr>
        <w:spacing w:after="80"/>
      </w:pPr>
    </w:p>
    <w:p>
      <w:pPr>
        <w:pStyle w:val="Heading2"/>
        <w:spacing w:before="320" w:after="120"/>
      </w:pPr>
      <w:r>
        <w:rPr>
          <w:rFonts w:ascii="Calibri" w:hAnsi="Calibri"/>
          <w:color w:val="1A237E"/>
          <w:sz w:val="29"/>
        </w:rPr>
        <w:t>6.1 The Audit Trail (the strongest closing beat)</w:t>
      </w:r>
    </w:p>
    <w:tbl>
      <w:tblPr>
        <w:tblW w:type="auto" w:w="0"/>
        <w:jc w:val="center"/>
        <w:tblLook w:firstColumn="1" w:firstRow="1" w:lastColumn="0" w:lastRow="0" w:noHBand="0" w:noVBand="1" w:val="04A0"/>
      </w:tblPr>
      <w:tblGrid>
        <w:gridCol w:w="9746"/>
      </w:tblGrid>
      <w:tr>
        <w:tc>
          <w:tcPr>
            <w:tcW w:type="dxa" w:w="9746"/>
            <w:shd w:fill="E8EAF6"/>
          </w:tcPr>
          <w:p>
            <w:pPr>
              <w:spacing w:before="80" w:after="80"/>
            </w:pPr>
            <w:r>
              <w:rPr>
                <w:b/>
                <w:color w:val="1A237E"/>
                <w:sz w:val="21"/>
              </w:rPr>
              <w:t xml:space="preserve">DO:  </w:t>
            </w:r>
            <w:r>
              <w:rPr>
                <w:color w:val="1A1A2E"/>
                <w:sz w:val="21"/>
              </w:rPr>
              <w:t>In Inventory → View Units, open the history/detail on any one unit.</w:t>
            </w:r>
          </w:p>
        </w:tc>
      </w:tr>
    </w:tbl>
    <w:p>
      <w:pPr>
        <w:spacing w:after="80"/>
      </w:pPr>
    </w:p>
    <w:tbl>
      <w:tblPr>
        <w:tblW w:type="auto" w:w="0"/>
        <w:jc w:val="center"/>
        <w:tblLook w:firstColumn="1" w:firstRow="1" w:lastColumn="0" w:lastRow="0" w:noHBand="0" w:noVBand="1" w:val="04A0"/>
      </w:tblPr>
      <w:tblGrid>
        <w:gridCol w:w="9746"/>
      </w:tblGrid>
      <w:tr>
        <w:tc>
          <w:tcPr>
            <w:tcW w:type="dxa" w:w="9746"/>
            <w:shd w:fill="FFF3E0"/>
          </w:tcPr>
          <w:p>
            <w:pPr>
              <w:spacing w:before="80" w:after="80"/>
            </w:pPr>
            <w:r/>
            <w:r>
              <w:rPr>
                <w:b/>
                <w:color w:val="FF6D00"/>
                <w:sz w:val="21"/>
              </w:rPr>
              <w:t xml:space="preserve">SAY:  </w:t>
            </w:r>
            <w:r>
              <w:rPr>
                <w:i/>
                <w:color w:val="1A1A2E"/>
                <w:sz w:val="21"/>
              </w:rPr>
              <w:t>This is the real difference between a spreadsheet and a system: every single one of our 66,000+ tracked units has a complete history like this — procured, issued, returned, damaged, repaired, disposed — timestamped, and tied to exactly who did it. If an auditor, a funder, or your own team ever asks "where did this go," the answer is always there.</w:t>
            </w:r>
          </w:p>
        </w:tc>
      </w:tr>
    </w:tbl>
    <w:p>
      <w:pPr>
        <w:spacing w:after="80"/>
      </w:pPr>
    </w:p>
    <w:p>
      <w:pPr>
        <w:pStyle w:val="Heading2"/>
        <w:spacing w:before="320" w:after="120"/>
      </w:pPr>
      <w:r>
        <w:rPr>
          <w:rFonts w:ascii="Calibri" w:hAnsi="Calibri"/>
          <w:color w:val="1A237E"/>
          <w:sz w:val="29"/>
        </w:rPr>
        <w:t>6.2 Reports — the leave-behind proof</w:t>
      </w:r>
    </w:p>
    <w:p>
      <w:pPr>
        <w:spacing w:after="120"/>
      </w:pPr>
      <w:r>
        <w:rPr>
          <w:b w:val="0"/>
          <w:i w:val="0"/>
          <w:color w:val="1A1A2E"/>
          <w:sz w:val="22"/>
        </w:rPr>
        <w:t>Close by generating one report live — it takes seconds and lands the "this is real data, not a mockup" point.</w:t>
      </w:r>
    </w:p>
    <w:tbl>
      <w:tblPr>
        <w:tblW w:type="auto" w:w="0"/>
        <w:jc w:val="center"/>
        <w:tblLook w:firstColumn="1" w:firstRow="1" w:lastColumn="0" w:lastRow="0" w:noHBand="0" w:noVBand="1" w:val="04A0"/>
      </w:tblPr>
      <w:tblGrid>
        <w:gridCol w:w="9746"/>
      </w:tblGrid>
      <w:tr>
        <w:tc>
          <w:tcPr>
            <w:tcW w:type="dxa" w:w="9746"/>
            <w:shd w:fill="E8EAF6"/>
          </w:tcPr>
          <w:p>
            <w:pPr>
              <w:spacing w:before="80" w:after="80"/>
            </w:pPr>
            <w:r>
              <w:rPr>
                <w:b/>
                <w:color w:val="1A237E"/>
                <w:sz w:val="21"/>
              </w:rPr>
              <w:t xml:space="preserve">DO:  </w:t>
            </w:r>
            <w:r>
              <w:rPr>
                <w:color w:val="1A1A2E"/>
                <w:sz w:val="21"/>
              </w:rPr>
              <w:t>Dashboard → Download Reports → Inventory Report (or Assets by Business Head). Open the downloaded file briefly to show it’s a real, styled spreadsheet built from live data.</w:t>
            </w:r>
          </w:p>
        </w:tc>
      </w:tr>
    </w:tbl>
    <w:p>
      <w:pPr>
        <w:spacing w:after="80"/>
      </w:pPr>
    </w:p>
    <w:p>
      <w:r>
        <w:br w:type="page"/>
      </w:r>
    </w:p>
    <w:p>
      <w:pPr>
        <w:pStyle w:val="Heading1"/>
        <w:spacing w:before="320" w:after="120"/>
      </w:pPr>
      <w:r>
        <w:rPr>
          <w:rFonts w:ascii="Calibri" w:hAnsi="Calibri"/>
          <w:color w:val="1A237E"/>
          <w:sz w:val="38"/>
        </w:rPr>
        <w:t>7. Anticipated Questions &amp; Suggested Answers</w:t>
      </w:r>
    </w:p>
    <w:tbl>
      <w:tblPr>
        <w:tblStyle w:val="TableGrid"/>
        <w:tblW w:type="auto" w:w="0"/>
        <w:jc w:val="center"/>
        <w:tblLook w:firstColumn="1" w:firstRow="1" w:lastColumn="0" w:lastRow="0" w:noHBand="0" w:noVBand="1" w:val="04A0"/>
      </w:tblPr>
      <w:tblGrid>
        <w:gridCol w:w="4873"/>
        <w:gridCol w:w="4873"/>
      </w:tblGrid>
      <w:tr>
        <w:tc>
          <w:tcPr>
            <w:tcW w:type="dxa" w:w="4464"/>
            <w:shd w:fill="17355F"/>
          </w:tcPr>
          <w:p>
            <w:r>
              <w:rPr>
                <w:b/>
                <w:color w:val="FFFFFF"/>
                <w:sz w:val="21"/>
              </w:rPr>
              <w:t>Question</w:t>
            </w:r>
          </w:p>
        </w:tc>
        <w:tc>
          <w:tcPr>
            <w:tcW w:type="dxa" w:w="5328"/>
            <w:shd w:fill="17355F"/>
          </w:tcPr>
          <w:p>
            <w:r>
              <w:rPr>
                <w:b/>
                <w:color w:val="FFFFFF"/>
                <w:sz w:val="21"/>
              </w:rPr>
              <w:t>Suggested answer</w:t>
            </w:r>
          </w:p>
        </w:tc>
      </w:tr>
      <w:tr>
        <w:tc>
          <w:tcPr>
            <w:tcW w:type="dxa" w:w="4464"/>
          </w:tcPr>
          <w:p>
            <w:r>
              <w:rPr>
                <w:color w:val="1A1A2E"/>
                <w:sz w:val="20"/>
              </w:rPr>
              <w:t>What happens if the internet/server goes down?</w:t>
            </w:r>
          </w:p>
        </w:tc>
        <w:tc>
          <w:tcPr>
            <w:tcW w:type="dxa" w:w="5328"/>
          </w:tcPr>
          <w:p>
            <w:r>
              <w:rPr>
                <w:color w:val="1A1A2E"/>
                <w:sz w:val="20"/>
              </w:rPr>
              <w:t>The system runs on our own server; there’s no dependency on a third party being up. Data is backed up before every major change, so recovery is straightforward.</w:t>
            </w:r>
          </w:p>
        </w:tc>
      </w:tr>
      <w:tr>
        <w:tc>
          <w:tcPr>
            <w:tcW w:type="dxa" w:w="4464"/>
          </w:tcPr>
          <w:p>
            <w:r>
              <w:rPr>
                <w:color w:val="1A1A2E"/>
                <w:sz w:val="20"/>
              </w:rPr>
              <w:t>How is this different from just a shared Excel file?</w:t>
            </w:r>
          </w:p>
        </w:tc>
        <w:tc>
          <w:tcPr>
            <w:tcW w:type="dxa" w:w="5328"/>
          </w:tcPr>
          <w:p>
            <w:r>
              <w:rPr>
                <w:color w:val="1A1A2E"/>
                <w:sz w:val="20"/>
              </w:rPr>
              <w:t>A spreadsheet is a file people take turns editing — no accountability for who changed what, no way to stop two people overwriting each other, and no way to enforce who’s allowed to do what. This is a real system with permissions, history, and validation built in.</w:t>
            </w:r>
          </w:p>
        </w:tc>
      </w:tr>
      <w:tr>
        <w:tc>
          <w:tcPr>
            <w:tcW w:type="dxa" w:w="4464"/>
          </w:tcPr>
          <w:p>
            <w:r>
              <w:rPr>
                <w:color w:val="1A1A2E"/>
                <w:sz w:val="20"/>
              </w:rPr>
              <w:t>What stops a center admin from doing something they shouldn’t?</w:t>
            </w:r>
          </w:p>
        </w:tc>
        <w:tc>
          <w:tcPr>
            <w:tcW w:type="dxa" w:w="5328"/>
          </w:tcPr>
          <w:p>
            <w:r>
              <w:rPr>
                <w:color w:val="1A1A2E"/>
                <w:sz w:val="20"/>
              </w:rPr>
              <w:t>Permissions are enforced by the system itself — not just hidden buttons. A center admin literally cannot reach an action outside their role, even by trying to call the system directly.</w:t>
            </w:r>
          </w:p>
        </w:tc>
      </w:tr>
      <w:tr>
        <w:tc>
          <w:tcPr>
            <w:tcW w:type="dxa" w:w="4464"/>
          </w:tcPr>
          <w:p>
            <w:r>
              <w:rPr>
                <w:color w:val="1A1A2E"/>
                <w:sz w:val="20"/>
              </w:rPr>
              <w:t>What’s left to do before all 9 centers are fully live?</w:t>
            </w:r>
          </w:p>
        </w:tc>
        <w:tc>
          <w:tcPr>
            <w:tcW w:type="dxa" w:w="5328"/>
          </w:tcPr>
          <w:p>
            <w:r>
              <w:rPr>
                <w:color w:val="1A1A2E"/>
                <w:sz w:val="20"/>
              </w:rPr>
              <w:t>The system and catalog structure are already identical across all 9 centers. What remains is loading each satellite center’s real current stock — the same careful, verified process already used for J P Nagar.</w:t>
            </w:r>
          </w:p>
        </w:tc>
      </w:tr>
      <w:tr>
        <w:tc>
          <w:tcPr>
            <w:tcW w:type="dxa" w:w="4464"/>
          </w:tcPr>
          <w:p>
            <w:r>
              <w:rPr>
                <w:color w:val="1A1A2E"/>
                <w:sz w:val="20"/>
              </w:rPr>
              <w:t>What does this cost to run?</w:t>
            </w:r>
          </w:p>
        </w:tc>
        <w:tc>
          <w:tcPr>
            <w:tcW w:type="dxa" w:w="5328"/>
          </w:tcPr>
          <w:p>
            <w:r>
              <w:rPr>
                <w:color w:val="1A1A2E"/>
                <w:sz w:val="20"/>
              </w:rPr>
              <w:t>[Fill in with your actual hosting/maintenance figures before presenting — intentionally left open here.]</w:t>
            </w:r>
          </w:p>
        </w:tc>
      </w:tr>
      <w:tr>
        <w:tc>
          <w:tcPr>
            <w:tcW w:type="dxa" w:w="4464"/>
          </w:tcPr>
          <w:p>
            <w:r>
              <w:rPr>
                <w:color w:val="1A1A2E"/>
                <w:sz w:val="20"/>
              </w:rPr>
              <w:t>Can students misuse it — request things they shouldn’t?</w:t>
            </w:r>
          </w:p>
        </w:tc>
        <w:tc>
          <w:tcPr>
            <w:tcW w:type="dxa" w:w="5328"/>
          </w:tcPr>
          <w:p>
            <w:r>
              <w:rPr>
                <w:color w:val="1A1A2E"/>
                <w:sz w:val="20"/>
              </w:rPr>
              <w:t>Every request needs admin approval before anything is issued; nothing leaves the shelf unapproved.</w:t>
            </w:r>
          </w:p>
        </w:tc>
      </w:tr>
    </w:tbl>
    <w:p>
      <w:pPr>
        <w:spacing w:after="80"/>
      </w:pPr>
    </w:p>
    <w:p>
      <w:r>
        <w:br w:type="page"/>
      </w:r>
    </w:p>
    <w:p>
      <w:pPr>
        <w:pStyle w:val="Heading1"/>
        <w:spacing w:before="320" w:after="120"/>
      </w:pPr>
      <w:r>
        <w:rPr>
          <w:rFonts w:ascii="Calibri" w:hAnsi="Calibri"/>
          <w:color w:val="1A237E"/>
          <w:sz w:val="38"/>
        </w:rPr>
        <w:t>8. Closing — The Ask</w:t>
      </w:r>
    </w:p>
    <w:tbl>
      <w:tblPr>
        <w:tblW w:type="auto" w:w="0"/>
        <w:jc w:val="center"/>
        <w:tblLook w:firstColumn="1" w:firstRow="1" w:lastColumn="0" w:lastRow="0" w:noHBand="0" w:noVBand="1" w:val="04A0"/>
      </w:tblPr>
      <w:tblGrid>
        <w:gridCol w:w="9746"/>
      </w:tblGrid>
      <w:tr>
        <w:tc>
          <w:tcPr>
            <w:tcW w:type="dxa" w:w="9746"/>
            <w:shd w:fill="FFF3E0"/>
          </w:tcPr>
          <w:p>
            <w:pPr>
              <w:spacing w:before="80" w:after="80"/>
            </w:pPr>
            <w:r/>
            <w:r>
              <w:rPr>
                <w:b/>
                <w:color w:val="FF6D00"/>
                <w:sz w:val="21"/>
              </w:rPr>
              <w:t xml:space="preserve">SAY:  </w:t>
            </w:r>
            <w:r>
              <w:rPr>
                <w:i/>
                <w:color w:val="1A1A2E"/>
                <w:sz w:val="21"/>
              </w:rPr>
              <w:t>What you’ve just seen is running today, live, on real inventory at J P Nagar — not a prototype. The other 8 centers are already structurally ready; what they need now is their real stock loaded in, the same verified way we did it here. [State your specific ask: budget, timeline, headcount, or sign-off to proceed center by center.]</w:t>
            </w:r>
          </w:p>
        </w:tc>
      </w:tr>
    </w:tbl>
    <w:p>
      <w:pPr>
        <w:spacing w:after="80"/>
      </w:pPr>
    </w:p>
    <w:p>
      <w:pPr>
        <w:spacing w:after="120"/>
      </w:pPr>
      <w:r>
        <w:rPr>
          <w:b w:val="0"/>
          <w:i w:val="0"/>
          <w:color w:val="1A1A2E"/>
          <w:sz w:val="22"/>
        </w:rPr>
      </w:r>
    </w:p>
    <w:p>
      <w:pPr>
        <w:spacing w:after="40"/>
        <w:pBdr>
          <w:bottom w:val="single" w:sz="6" w:space="1" w:color="DDE3F0"/>
        </w:pBdr>
      </w:pPr>
    </w:p>
    <w:p>
      <w:pPr>
        <w:jc w:val="center"/>
      </w:pPr>
      <w:r>
        <w:rPr>
          <w:i/>
          <w:color w:val="6B7280"/>
          <w:sz w:val="18"/>
        </w:rPr>
        <w:t>CIMS V2.0 Demo Script — Comedkares Innovation Hub</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