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软件网络安全可追溯性分析记录</w:t>
      </w:r>
    </w:p>
    <w:p>
      <w:r>
        <w:t>编号：SKAR-JL-241-000</w:t>
      </w:r>
    </w:p>
    <w:p>
      <w:r>
        <w:t>软件名称：医学影像三维重建软件（Vision Magic Ecosystem）                                                         软件版本号：V1.0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序号</w:t>
            </w:r>
          </w:p>
        </w:tc>
        <w:tc>
          <w:tcPr>
            <w:tcW w:type="dxa" w:w="1234"/>
          </w:tcPr>
          <w:p>
            <w:r>
              <w:t>风险管理编号</w:t>
            </w:r>
          </w:p>
        </w:tc>
        <w:tc>
          <w:tcPr>
            <w:tcW w:type="dxa" w:w="1234"/>
          </w:tcPr>
          <w:p>
            <w:r>
              <w:t>软件需求编号</w:t>
            </w:r>
          </w:p>
        </w:tc>
        <w:tc>
          <w:tcPr>
            <w:tcW w:type="dxa" w:w="1234"/>
          </w:tcPr>
          <w:p>
            <w:r>
              <w:t>概要设计说明书编号</w:t>
            </w:r>
          </w:p>
        </w:tc>
        <w:tc>
          <w:tcPr>
            <w:tcW w:type="dxa" w:w="1234"/>
          </w:tcPr>
          <w:p>
            <w:r>
              <w:t>详细设计说明书编号</w:t>
            </w:r>
          </w:p>
        </w:tc>
        <w:tc>
          <w:tcPr>
            <w:tcW w:type="dxa" w:w="1234"/>
          </w:tcPr>
          <w:p>
            <w:r>
              <w:t>源代码（追溯源代码和系统测试用例的对应关系）</w:t>
            </w:r>
          </w:p>
        </w:tc>
        <w:tc>
          <w:tcPr>
            <w:tcW w:type="dxa" w:w="1234"/>
          </w:tcPr>
          <w:p>
            <w:r>
              <w:t>网络安全测试编号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SRA-001</w:t>
            </w:r>
          </w:p>
        </w:tc>
        <w:tc>
          <w:tcPr>
            <w:tcW w:type="dxa" w:w="1234"/>
          </w:tcPr>
          <w:p>
            <w:r>
              <w:t>FR-001; SR-001</w:t>
            </w:r>
          </w:p>
        </w:tc>
        <w:tc>
          <w:tcPr>
            <w:tcW w:type="dxa" w:w="1234"/>
          </w:tcPr>
          <w:p>
            <w:r>
              <w:t>3.1 登录模块</w:t>
            </w:r>
          </w:p>
        </w:tc>
        <w:tc>
          <w:tcPr>
            <w:tcW w:type="dxa" w:w="1234"/>
          </w:tcPr>
          <w:p>
            <w:r>
              <w:t>3.2.4 认证流程</w:t>
            </w:r>
          </w:p>
        </w:tc>
        <w:tc>
          <w:tcPr>
            <w:tcW w:type="dxa" w:w="1234"/>
          </w:tcPr>
          <w:p>
            <w:r>
              <w:t>UserManager.cxx; qLoginDialog.cxx</w:t>
            </w:r>
          </w:p>
        </w:tc>
        <w:tc>
          <w:tcPr>
            <w:tcW w:type="dxa" w:w="1234"/>
          </w:tcPr>
          <w:p>
            <w:r>
              <w:t>T3,T4,T7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SRA-002</w:t>
            </w:r>
          </w:p>
        </w:tc>
        <w:tc>
          <w:tcPr>
            <w:tcW w:type="dxa" w:w="1234"/>
          </w:tcPr>
          <w:p>
            <w:r>
              <w:t>FR-003; SR-010</w:t>
            </w:r>
          </w:p>
        </w:tc>
        <w:tc>
          <w:tcPr>
            <w:tcW w:type="dxa" w:w="1234"/>
          </w:tcPr>
          <w:p>
            <w:r>
              <w:t>7.1 出错信息; 8.2 安全与隐私</w:t>
            </w:r>
          </w:p>
        </w:tc>
        <w:tc>
          <w:tcPr>
            <w:tcW w:type="dxa" w:w="1234"/>
          </w:tcPr>
          <w:p>
            <w:r>
              <w:t>3.2.2 安全模型; 3.2.4 认证流程</w:t>
            </w:r>
          </w:p>
        </w:tc>
        <w:tc>
          <w:tcPr>
            <w:tcW w:type="dxa" w:w="1234"/>
          </w:tcPr>
          <w:p>
            <w:r>
              <w:t>UserManager.cxx (authenticate/lock)</w:t>
            </w:r>
          </w:p>
        </w:tc>
        <w:tc>
          <w:tcPr>
            <w:tcW w:type="dxa" w:w="1234"/>
          </w:tcPr>
          <w:p>
            <w:r>
              <w:t>T13,T14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SRA-003</w:t>
            </w:r>
          </w:p>
        </w:tc>
        <w:tc>
          <w:tcPr>
            <w:tcW w:type="dxa" w:w="1234"/>
          </w:tcPr>
          <w:p>
            <w:r>
              <w:t>FR-002; SR-005</w:t>
            </w:r>
          </w:p>
        </w:tc>
        <w:tc>
          <w:tcPr>
            <w:tcW w:type="dxa" w:w="1234"/>
          </w:tcPr>
          <w:p>
            <w:r>
              <w:t>8.2 安全与隐私设计</w:t>
            </w:r>
          </w:p>
        </w:tc>
        <w:tc>
          <w:tcPr>
            <w:tcW w:type="dxa" w:w="1234"/>
          </w:tcPr>
          <w:p>
            <w:r>
              <w:t>3.2.2 安全模型; 3.2.6 与主窗口集成</w:t>
            </w:r>
          </w:p>
        </w:tc>
        <w:tc>
          <w:tcPr>
            <w:tcW w:type="dxa" w:w="1234"/>
          </w:tcPr>
          <w:p>
            <w:r>
              <w:t>qUserManagementDialog.cxx; qRadianceAppMainWindow.cxx</w:t>
            </w:r>
          </w:p>
        </w:tc>
        <w:tc>
          <w:tcPr>
            <w:tcW w:type="dxa" w:w="1234"/>
          </w:tcPr>
          <w:p>
            <w:r>
              <w:t>T9,T10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SRA-004</w:t>
            </w:r>
          </w:p>
        </w:tc>
        <w:tc>
          <w:tcPr>
            <w:tcW w:type="dxa" w:w="1234"/>
          </w:tcPr>
          <w:p>
            <w:r>
              <w:t>FR-004; SR-002</w:t>
            </w:r>
          </w:p>
        </w:tc>
        <w:tc>
          <w:tcPr>
            <w:tcW w:type="dxa" w:w="1234"/>
          </w:tcPr>
          <w:p>
            <w:r>
              <w:t>3.1 设置模块/用户设置</w:t>
            </w:r>
          </w:p>
        </w:tc>
        <w:tc>
          <w:tcPr>
            <w:tcW w:type="dxa" w:w="1234"/>
          </w:tcPr>
          <w:p>
            <w:r>
              <w:t>3.2.3 密码存储; 3.2.5 界面类</w:t>
            </w:r>
          </w:p>
        </w:tc>
        <w:tc>
          <w:tcPr>
            <w:tcW w:type="dxa" w:w="1234"/>
          </w:tcPr>
          <w:p>
            <w:r>
              <w:t>qChangePasswordDialog.cxx; UserManager.cxx</w:t>
            </w:r>
          </w:p>
        </w:tc>
        <w:tc>
          <w:tcPr>
            <w:tcW w:type="dxa" w:w="1234"/>
          </w:tcPr>
          <w:p>
            <w:r>
              <w:t>T8,T28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SRA-005</w:t>
            </w:r>
          </w:p>
        </w:tc>
        <w:tc>
          <w:tcPr>
            <w:tcW w:type="dxa" w:w="1234"/>
          </w:tcPr>
          <w:p>
            <w:r>
              <w:t>FR-005; DR-002</w:t>
            </w:r>
          </w:p>
        </w:tc>
        <w:tc>
          <w:tcPr>
            <w:tcW w:type="dxa" w:w="1234"/>
          </w:tcPr>
          <w:p>
            <w:r>
              <w:t>8.1.2 用户数据维护</w:t>
            </w:r>
          </w:p>
        </w:tc>
        <w:tc>
          <w:tcPr>
            <w:tcW w:type="dxa" w:w="1234"/>
          </w:tcPr>
          <w:p>
            <w:r>
              <w:t>3.2.5 界面类; 3.2.6 与主窗口集成</w:t>
            </w:r>
          </w:p>
        </w:tc>
        <w:tc>
          <w:tcPr>
            <w:tcW w:type="dxa" w:w="1234"/>
          </w:tcPr>
          <w:p>
            <w:r>
              <w:t>qUserManagementDialog.cxx; UserManager.cxx</w:t>
            </w:r>
          </w:p>
        </w:tc>
        <w:tc>
          <w:tcPr>
            <w:tcW w:type="dxa" w:w="1234"/>
          </w:tcPr>
          <w:p>
            <w:r>
              <w:t>T10,T14,T27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SRA-006</w:t>
            </w:r>
          </w:p>
        </w:tc>
        <w:tc>
          <w:tcPr>
            <w:tcW w:type="dxa" w:w="1234"/>
          </w:tcPr>
          <w:p>
            <w:r>
              <w:t>SR-001（启动约束）</w:t>
            </w:r>
          </w:p>
        </w:tc>
        <w:tc>
          <w:tcPr>
            <w:tcW w:type="dxa" w:w="1234"/>
          </w:tcPr>
          <w:p>
            <w:r>
              <w:t>2.1 系统架构设计</w:t>
            </w:r>
          </w:p>
        </w:tc>
        <w:tc>
          <w:tcPr>
            <w:tcW w:type="dxa" w:w="1234"/>
          </w:tcPr>
          <w:p>
            <w:r>
              <w:t>2.4 启动阶段</w:t>
            </w:r>
          </w:p>
        </w:tc>
        <w:tc>
          <w:tcPr>
            <w:tcW w:type="dxa" w:w="1234"/>
          </w:tcPr>
          <w:p>
            <w:r>
              <w:t>Main.cxx (QLockFile 单实例)</w:t>
            </w:r>
          </w:p>
        </w:tc>
        <w:tc>
          <w:tcPr>
            <w:tcW w:type="dxa" w:w="1234"/>
          </w:tcPr>
          <w:p>
            <w:r>
              <w:t>T5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SRA-007</w:t>
            </w:r>
          </w:p>
        </w:tc>
        <w:tc>
          <w:tcPr>
            <w:tcW w:type="dxa" w:w="1234"/>
          </w:tcPr>
          <w:p>
            <w:r>
              <w:t>FR-070; SR-004</w:t>
            </w:r>
          </w:p>
        </w:tc>
        <w:tc>
          <w:tcPr>
            <w:tcW w:type="dxa" w:w="1234"/>
          </w:tcPr>
          <w:p>
            <w:r>
              <w:t>5.2 内部接口（授权服务）</w:t>
            </w:r>
          </w:p>
        </w:tc>
        <w:tc>
          <w:tcPr>
            <w:tcW w:type="dxa" w:w="1234"/>
          </w:tcPr>
          <w:p>
            <w:r>
              <w:t>3.3 授权系统</w:t>
            </w:r>
          </w:p>
        </w:tc>
        <w:tc>
          <w:tcPr>
            <w:tcW w:type="dxa" w:w="1234"/>
          </w:tcPr>
          <w:p>
            <w:r>
              <w:t>LicenseManager.cxx; qLicenseCheckDialog.cxx</w:t>
            </w:r>
          </w:p>
        </w:tc>
        <w:tc>
          <w:tcPr>
            <w:tcW w:type="dxa" w:w="1234"/>
          </w:tcPr>
          <w:p>
            <w:r>
              <w:t>T6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SRA-008</w:t>
            </w:r>
          </w:p>
        </w:tc>
        <w:tc>
          <w:tcPr>
            <w:tcW w:type="dxa" w:w="1234"/>
          </w:tcPr>
          <w:p>
            <w:r>
              <w:t>FR-058; FR-100; SR-006</w:t>
            </w:r>
          </w:p>
        </w:tc>
        <w:tc>
          <w:tcPr>
            <w:tcW w:type="dxa" w:w="1234"/>
          </w:tcPr>
          <w:p>
            <w:r>
              <w:t>11.1 系统退出</w:t>
            </w:r>
          </w:p>
        </w:tc>
        <w:tc>
          <w:tcPr>
            <w:tcW w:type="dxa" w:w="1234"/>
          </w:tcPr>
          <w:p>
            <w:r>
              <w:t>8 系统退出; 3.2.6 与主窗口集成</w:t>
            </w:r>
          </w:p>
        </w:tc>
        <w:tc>
          <w:tcPr>
            <w:tcW w:type="dxa" w:w="1234"/>
          </w:tcPr>
          <w:p>
            <w:r>
              <w:t>qRadianceAppMainWindow.cxx (logout)</w:t>
            </w:r>
          </w:p>
        </w:tc>
        <w:tc>
          <w:tcPr>
            <w:tcW w:type="dxa" w:w="1234"/>
          </w:tcPr>
          <w:p>
            <w:r>
              <w:t>T1,T15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SRA-009</w:t>
            </w:r>
          </w:p>
        </w:tc>
        <w:tc>
          <w:tcPr>
            <w:tcW w:type="dxa" w:w="1234"/>
          </w:tcPr>
          <w:p>
            <w:r>
              <w:t>FR-060; DR-004</w:t>
            </w:r>
          </w:p>
        </w:tc>
        <w:tc>
          <w:tcPr>
            <w:tcW w:type="dxa" w:w="1234"/>
          </w:tcPr>
          <w:p>
            <w:r>
              <w:t>8.1.1 日志维护</w:t>
            </w:r>
          </w:p>
        </w:tc>
        <w:tc>
          <w:tcPr>
            <w:tcW w:type="dxa" w:w="1234"/>
          </w:tcPr>
          <w:p>
            <w:r>
              <w:t>3.6 日志; 7.1 日志点位清单</w:t>
            </w:r>
          </w:p>
        </w:tc>
        <w:tc>
          <w:tcPr>
            <w:tcW w:type="dxa" w:w="1234"/>
          </w:tcPr>
          <w:p>
            <w:r>
              <w:t>AppLogger.cxx; Main.cxx</w:t>
            </w:r>
          </w:p>
        </w:tc>
        <w:tc>
          <w:tcPr>
            <w:tcW w:type="dxa" w:w="1234"/>
          </w:tcPr>
          <w:p>
            <w:r>
              <w:t>T2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SRA-010</w:t>
            </w:r>
          </w:p>
        </w:tc>
        <w:tc>
          <w:tcPr>
            <w:tcW w:type="dxa" w:w="1234"/>
          </w:tcPr>
          <w:p>
            <w:r>
              <w:t>FR-020; DR-001; DR-008</w:t>
            </w:r>
          </w:p>
        </w:tc>
        <w:tc>
          <w:tcPr>
            <w:tcW w:type="dxa" w:w="1234"/>
          </w:tcPr>
          <w:p>
            <w:r>
              <w:t>2.2 影像导入流程; 5.3 外部接口</w:t>
            </w:r>
          </w:p>
        </w:tc>
        <w:tc>
          <w:tcPr>
            <w:tcW w:type="dxa" w:w="1234"/>
          </w:tcPr>
          <w:p>
            <w:r>
              <w:t>3.4 影像导入校验; §2.6 数据主路径</w:t>
            </w:r>
          </w:p>
        </w:tc>
        <w:tc>
          <w:tcPr>
            <w:tcW w:type="dxa" w:w="1234"/>
          </w:tcPr>
          <w:p>
            <w:r>
              <w:t>Slicer DICOM 模块; VisionMagicConfig.py</w:t>
            </w:r>
          </w:p>
        </w:tc>
        <w:tc>
          <w:tcPr>
            <w:tcW w:type="dxa" w:w="1234"/>
          </w:tcPr>
          <w:p>
            <w:r>
              <w:t>T17,T18,T26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SRA-011</w:t>
            </w:r>
          </w:p>
        </w:tc>
        <w:tc>
          <w:tcPr>
            <w:tcW w:type="dxa" w:w="1234"/>
          </w:tcPr>
          <w:p>
            <w:r>
              <w:t>FR-021; RR-002</w:t>
            </w:r>
          </w:p>
        </w:tc>
        <w:tc>
          <w:tcPr>
            <w:tcW w:type="dxa" w:w="1234"/>
          </w:tcPr>
          <w:p>
            <w:r>
              <w:t>4.1.3 数据一致性与恢复</w:t>
            </w:r>
          </w:p>
        </w:tc>
        <w:tc>
          <w:tcPr>
            <w:tcW w:type="dxa" w:w="1234"/>
          </w:tcPr>
          <w:p>
            <w:r>
              <w:t>3.4.3 失败语义; 3.4.4 与 MRML 生命周期</w:t>
            </w:r>
          </w:p>
        </w:tc>
        <w:tc>
          <w:tcPr>
            <w:tcW w:type="dxa" w:w="1234"/>
          </w:tcPr>
          <w:p>
            <w:r>
              <w:t>VolumeImportValidator.cxx</w:t>
            </w:r>
          </w:p>
        </w:tc>
        <w:tc>
          <w:tcPr>
            <w:tcW w:type="dxa" w:w="1234"/>
          </w:tcPr>
          <w:p>
            <w:r>
              <w:t>T19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SRA-012</w:t>
            </w:r>
          </w:p>
        </w:tc>
        <w:tc>
          <w:tcPr>
            <w:tcW w:type="dxa" w:w="1234"/>
          </w:tcPr>
          <w:p>
            <w:r>
              <w:t>RR-001（删除二次确认）</w:t>
            </w:r>
          </w:p>
        </w:tc>
        <w:tc>
          <w:tcPr>
            <w:tcW w:type="dxa" w:w="1234"/>
          </w:tcPr>
          <w:p>
            <w:r>
              <w:t>7.1 出错信息与补救措施</w:t>
            </w:r>
          </w:p>
        </w:tc>
        <w:tc>
          <w:tcPr>
            <w:tcW w:type="dxa" w:w="1234"/>
          </w:tcPr>
          <w:p>
            <w:r>
              <w:t>6.1 错误分类</w:t>
            </w:r>
          </w:p>
        </w:tc>
        <w:tc>
          <w:tcPr>
            <w:tcW w:type="dxa" w:w="1234"/>
          </w:tcPr>
          <w:p>
            <w:r>
              <w:t>Slicer 数据/场景模块</w:t>
            </w:r>
          </w:p>
        </w:tc>
        <w:tc>
          <w:tcPr>
            <w:tcW w:type="dxa" w:w="1234"/>
          </w:tcPr>
          <w:p>
            <w:r>
              <w:t>T20</w:t>
            </w:r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SRA-013</w:t>
            </w:r>
          </w:p>
        </w:tc>
        <w:tc>
          <w:tcPr>
            <w:tcW w:type="dxa" w:w="1234"/>
          </w:tcPr>
          <w:p>
            <w:r>
              <w:t>FR-050; DR-007</w:t>
            </w:r>
          </w:p>
        </w:tc>
        <w:tc>
          <w:tcPr>
            <w:tcW w:type="dxa" w:w="1234"/>
          </w:tcPr>
          <w:p>
            <w:r>
              <w:t>2.2/4.1.2 持久化设计</w:t>
            </w:r>
          </w:p>
        </w:tc>
        <w:tc>
          <w:tcPr>
            <w:tcW w:type="dxa" w:w="1234"/>
          </w:tcPr>
          <w:p>
            <w:r>
              <w:t>§2.6 医生标注与保存</w:t>
            </w:r>
          </w:p>
        </w:tc>
        <w:tc>
          <w:tcPr>
            <w:tcW w:type="dxa" w:w="1234"/>
          </w:tcPr>
          <w:p>
            <w:r>
              <w:t>qRadianceAppMainWindow.cxx (保存)</w:t>
            </w:r>
          </w:p>
        </w:tc>
        <w:tc>
          <w:tcPr>
            <w:tcW w:type="dxa" w:w="1234"/>
          </w:tcPr>
          <w:p>
            <w:r>
              <w:t>T21</w:t>
            </w:r>
          </w:p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SRA-014</w:t>
            </w:r>
          </w:p>
        </w:tc>
        <w:tc>
          <w:tcPr>
            <w:tcW w:type="dxa" w:w="1234"/>
          </w:tcPr>
          <w:p>
            <w:r>
              <w:t>FR-001; FR-005</w:t>
            </w:r>
          </w:p>
        </w:tc>
        <w:tc>
          <w:tcPr>
            <w:tcW w:type="dxa" w:w="1234"/>
          </w:tcPr>
          <w:p>
            <w:r>
              <w:t>3.1 登录模块（格式校验）</w:t>
            </w:r>
          </w:p>
        </w:tc>
        <w:tc>
          <w:tcPr>
            <w:tcW w:type="dxa" w:w="1234"/>
          </w:tcPr>
          <w:p>
            <w:r>
              <w:t>3.2.3 密码存储; 3.2.4 认证流程</w:t>
            </w:r>
          </w:p>
        </w:tc>
        <w:tc>
          <w:tcPr>
            <w:tcW w:type="dxa" w:w="1234"/>
          </w:tcPr>
          <w:p>
            <w:r>
              <w:t>UserManager.cxx (validateUsername/limits)</w:t>
            </w:r>
          </w:p>
        </w:tc>
        <w:tc>
          <w:tcPr>
            <w:tcW w:type="dxa" w:w="1234"/>
          </w:tcPr>
          <w:p>
            <w:r>
              <w:t>T11,T12</w:t>
            </w:r>
          </w:p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SRA-015</w:t>
            </w:r>
          </w:p>
        </w:tc>
        <w:tc>
          <w:tcPr>
            <w:tcW w:type="dxa" w:w="1234"/>
          </w:tcPr>
          <w:p>
            <w:r>
              <w:t>SR-003; SR-007; SR-009</w:t>
            </w:r>
          </w:p>
        </w:tc>
        <w:tc>
          <w:tcPr>
            <w:tcW w:type="dxa" w:w="1234"/>
          </w:tcPr>
          <w:p>
            <w:r>
              <w:t>8.2/8.3 安全与隐私; 部署配置</w:t>
            </w:r>
          </w:p>
        </w:tc>
        <w:tc>
          <w:tcPr>
            <w:tcW w:type="dxa" w:w="1234"/>
          </w:tcPr>
          <w:p>
            <w:r>
              <w:t>7.2 配置项清单; 7.3 非功能落实; 9.2 运行环境</w:t>
            </w:r>
          </w:p>
        </w:tc>
        <w:tc>
          <w:tcPr>
            <w:tcW w:type="dxa" w:w="1234"/>
          </w:tcPr>
          <w:p>
            <w:r>
              <w:t>产品说明书</w:t>
            </w:r>
          </w:p>
        </w:tc>
        <w:tc>
          <w:tcPr>
            <w:tcW w:type="dxa" w:w="1234"/>
          </w:tcPr>
          <w:p>
            <w:r>
              <w:t>T22,T23,T24,T25,T29,T32,T33</w:t>
            </w:r>
          </w:p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SRA-016</w:t>
            </w:r>
          </w:p>
        </w:tc>
        <w:tc>
          <w:tcPr>
            <w:tcW w:type="dxa" w:w="1234"/>
          </w:tcPr>
          <w:p>
            <w:r>
              <w:t>—（SBOM/RDMP 文档要求）</w:t>
            </w:r>
          </w:p>
        </w:tc>
        <w:tc>
          <w:tcPr>
            <w:tcW w:type="dxa" w:w="1234"/>
          </w:tcPr>
          <w:p>
            <w:r>
              <w:t>8.1.4 版本信息维护</w:t>
            </w:r>
          </w:p>
        </w:tc>
        <w:tc>
          <w:tcPr>
            <w:tcW w:type="dxa" w:w="1234"/>
          </w:tcPr>
          <w:p>
            <w:r>
              <w:t>附录 B 实现映射表</w:t>
            </w:r>
          </w:p>
        </w:tc>
        <w:tc>
          <w:tcPr>
            <w:tcW w:type="dxa" w:w="1234"/>
          </w:tcPr>
          <w:p>
            <w:r>
              <w:t>现成软件清单文档</w:t>
            </w:r>
          </w:p>
        </w:tc>
        <w:tc>
          <w:tcPr>
            <w:tcW w:type="dxa" w:w="1234"/>
          </w:tcPr>
          <w:p>
            <w:r>
              <w:t>T30,T31</w:t>
            </w:r>
          </w:p>
        </w:tc>
      </w:tr>
      <w:tr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SRA-017</w:t>
            </w:r>
          </w:p>
        </w:tc>
        <w:tc>
          <w:tcPr>
            <w:tcW w:type="dxa" w:w="1234"/>
          </w:tcPr>
          <w:p>
            <w:r>
              <w:t>SR-002; FR-001</w:t>
            </w:r>
          </w:p>
        </w:tc>
        <w:tc>
          <w:tcPr>
            <w:tcW w:type="dxa" w:w="1234"/>
          </w:tcPr>
          <w:p>
            <w:r>
              <w:t>3.1 登录模块（密文输入）</w:t>
            </w:r>
          </w:p>
        </w:tc>
        <w:tc>
          <w:tcPr>
            <w:tcW w:type="dxa" w:w="1234"/>
          </w:tcPr>
          <w:p>
            <w:r>
              <w:t>3.2.5 界面类（qLoginDialog）</w:t>
            </w:r>
          </w:p>
        </w:tc>
        <w:tc>
          <w:tcPr>
            <w:tcW w:type="dxa" w:w="1234"/>
          </w:tcPr>
          <w:p>
            <w:r>
              <w:t>qLoginDialog.cxx (Password echo)</w:t>
            </w:r>
          </w:p>
        </w:tc>
        <w:tc>
          <w:tcPr>
            <w:tcW w:type="dxa" w:w="1234"/>
          </w:tcPr>
          <w:p>
            <w:r>
              <w:t>T16</w:t>
            </w:r>
          </w:p>
        </w:tc>
      </w:tr>
      <w:tr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SRA-018</w:t>
            </w:r>
          </w:p>
        </w:tc>
        <w:tc>
          <w:tcPr>
            <w:tcW w:type="dxa" w:w="1234"/>
          </w:tcPr>
          <w:p>
            <w:r>
              <w:t>SR-008（运行环境兼容）</w:t>
            </w:r>
          </w:p>
        </w:tc>
        <w:tc>
          <w:tcPr>
            <w:tcW w:type="dxa" w:w="1234"/>
          </w:tcPr>
          <w:p>
            <w:r>
              <w:t>3.2 运行环境</w:t>
            </w:r>
          </w:p>
        </w:tc>
        <w:tc>
          <w:tcPr>
            <w:tcW w:type="dxa" w:w="1234"/>
          </w:tcPr>
          <w:p>
            <w:r>
              <w:t>9.2 运行环境</w:t>
            </w:r>
          </w:p>
        </w:tc>
        <w:tc>
          <w:tcPr>
            <w:tcW w:type="dxa" w:w="1234"/>
          </w:tcPr>
          <w:p>
            <w:r>
              <w:t>—（说明书+杀毒软件共存验证）</w:t>
            </w:r>
          </w:p>
        </w:tc>
        <w:tc>
          <w:tcPr>
            <w:tcW w:type="dxa" w:w="1234"/>
          </w:tcPr>
          <w:p>
            <w:r>
              <w:t>T34</w:t>
            </w:r>
          </w:p>
        </w:tc>
      </w:tr>
    </w:tbl>
    <w:p>
      <w:r>
        <w:t>记录时间：                   （现场填写）         追溯人：                       审核人：</w:t>
      </w:r>
    </w:p>
    <w:p>
      <w:r>
        <w:t>注：RM 编码来自风险管理资料；软件需求编号来自《软件需求规格说明书》（含 FR/DR/SR/RR）；概要/详细设计章节编号分别来自《软件概要设计说明书》《软件详细设计说明书》；网络安全测试编号对应《网络安全测试用例》T 系列用例。每项风险可与需求、设计、源代码、测试一对一或多对一对应。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