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E58" w:rsidRPr="0091448E" w:rsidRDefault="00C85E58" w:rsidP="00C85E58">
      <w:pPr>
        <w:pStyle w:val="Heading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75540025"/>
      <w:r w:rsidRPr="0091448E">
        <w:rPr>
          <w:rFonts w:ascii="Times New Roman" w:hAnsi="Times New Roman" w:cs="Times New Roman"/>
          <w:sz w:val="36"/>
          <w:szCs w:val="36"/>
        </w:rPr>
        <w:t>Промышленная экология и безопасность</w:t>
      </w:r>
      <w:bookmarkEnd w:id="0"/>
    </w:p>
    <w:p w:rsidR="00C85E58" w:rsidRDefault="00C85E58" w:rsidP="00C85E58">
      <w:pPr>
        <w:pStyle w:val="Li1"/>
        <w:numPr>
          <w:ilvl w:val="0"/>
          <w:numId w:val="0"/>
        </w:numPr>
        <w:spacing w:before="100" w:beforeAutospacing="1" w:after="100" w:afterAutospacing="1"/>
        <w:ind w:firstLine="708"/>
        <w:rPr>
          <w:b/>
        </w:rPr>
      </w:pPr>
      <w:r>
        <w:t xml:space="preserve">Основой проектирования безопасной техники и технологии, а также разработки комплекса мероприятий, обеспечивающего безопасные условия труда на производстве, является учет требований законодательных актов и нормативно-технической документации по охране труда. </w:t>
      </w:r>
    </w:p>
    <w:p w:rsidR="00C85E58" w:rsidRPr="003226D4" w:rsidRDefault="00C85E58" w:rsidP="00C85E58">
      <w:pPr>
        <w:pStyle w:val="W"/>
        <w:spacing w:line="360" w:lineRule="auto"/>
      </w:pPr>
      <w:bookmarkStart w:id="1" w:name="_Toc42059589"/>
      <w:bookmarkStart w:id="2" w:name="_Toc44096405"/>
      <w:bookmarkStart w:id="3" w:name="_Toc75540026"/>
      <w:r w:rsidRPr="003226D4">
        <w:t>Анализ вредных и опасных факторов</w:t>
      </w:r>
      <w:bookmarkEnd w:id="1"/>
      <w:bookmarkEnd w:id="2"/>
      <w:bookmarkEnd w:id="3"/>
    </w:p>
    <w:p w:rsidR="00C85E58" w:rsidRP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>Пользователь персональной электронно-вычислительной машины (далее ПЭВМ) имеет дело с рядом вредных и опасных факторов</w:t>
      </w:r>
      <w:r w:rsidRPr="00C85E58">
        <w:t>: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 xml:space="preserve">переменные электрические и магнитные поля; 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 xml:space="preserve">статическое электричество; 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>негативное воздействие некомфортного микроклимата;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 xml:space="preserve">опасность поражения электрическим током; 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>опасность возникновения пожара;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>негативное воздействие шума;</w:t>
      </w:r>
    </w:p>
    <w:p w:rsid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>негативное воздействие недостатка освещения;</w:t>
      </w:r>
    </w:p>
    <w:p w:rsidR="00C85E58" w:rsidRPr="00C85E58" w:rsidRDefault="00C85E58" w:rsidP="00C85E58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360" w:lineRule="auto"/>
      </w:pPr>
      <w:r>
        <w:t xml:space="preserve">утомление и травматизм кистей рук. </w:t>
      </w:r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 При длительном и регулярном воздействии на организм человека, при превышении установленных норм на воздействие эти факторы могут отрицательным образом сказаться на здоровье человека.</w:t>
      </w:r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Воздействие вышеперечисленных вредных и опасных факторов на организм человека нормируется по </w:t>
      </w:r>
      <w:proofErr w:type="spellStart"/>
      <w:r>
        <w:t>СанПиН</w:t>
      </w:r>
      <w:proofErr w:type="spellEnd"/>
      <w:r>
        <w:t xml:space="preserve"> 2.2.2/2.4.1340-03 ("Гигиенические требования к персональным электронно-вычислительным машинам и организации работы"). Далее перечислены основные вредные и опасные факторы и описаны способы снижения их влияния на организм человека.</w:t>
      </w:r>
    </w:p>
    <w:p w:rsidR="00C85E58" w:rsidRPr="00494D33" w:rsidRDefault="00C85E58" w:rsidP="00C85E58">
      <w:pPr>
        <w:pStyle w:val="W20"/>
        <w:spacing w:before="100" w:after="120" w:line="360" w:lineRule="auto"/>
      </w:pPr>
      <w:r>
        <w:t xml:space="preserve">5.1.1. </w:t>
      </w:r>
      <w:r>
        <w:tab/>
      </w:r>
      <w:bookmarkStart w:id="4" w:name="_Toc42059590"/>
      <w:bookmarkStart w:id="5" w:name="_Toc44096406"/>
      <w:bookmarkStart w:id="6" w:name="_Toc75540027"/>
      <w:r w:rsidRPr="00494D33">
        <w:t>Освещенность</w:t>
      </w:r>
      <w:bookmarkEnd w:id="4"/>
      <w:bookmarkEnd w:id="5"/>
      <w:bookmarkEnd w:id="6"/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proofErr w:type="gramStart"/>
      <w:r>
        <w:t xml:space="preserve">Естественное освещение должно осуществляться через </w:t>
      </w:r>
      <w:proofErr w:type="spellStart"/>
      <w:r>
        <w:t>светопроемы</w:t>
      </w:r>
      <w:proofErr w:type="spellEnd"/>
      <w:r>
        <w:t>, ориентированные преимущественно на север и северо-восток и обеспечивать коэффициент естес</w:t>
      </w:r>
      <w:r>
        <w:t>т</w:t>
      </w:r>
      <w:r>
        <w:t>венной освещенности (КЕО) не ниже 1,5% для г. Москва.</w:t>
      </w:r>
      <w:proofErr w:type="gramEnd"/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Искусственное освещение должно осуществляться системой общего равномерного освещения. В производственных и административно-общественных помещениях в случае преимущественной работы с документами допускается применение искусственного </w:t>
      </w:r>
      <w:r>
        <w:lastRenderedPageBreak/>
        <w:t>освещения (и вместе с общим освещением устанавливаются светильники местного освещения).</w:t>
      </w:r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Освещенность на поверхности рабочего стола должна быть 300-500 лк. Разрешается установка светильников местного освещения для работы с документами, но они не должны создавать блики на поверхности экрана и увеличивать освещенность более </w:t>
      </w:r>
      <w:r w:rsidRPr="00340FD4">
        <w:t>5</w:t>
      </w:r>
      <w:r>
        <w:t>00 лк.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 xml:space="preserve">Путем правильного расположения рабочих мест относительно источников освещения должна ограничиваться </w:t>
      </w:r>
      <w:proofErr w:type="spellStart"/>
      <w:r>
        <w:t>блесткость</w:t>
      </w:r>
      <w:proofErr w:type="spellEnd"/>
      <w:r>
        <w:t xml:space="preserve"> от источников освещения.</w:t>
      </w:r>
    </w:p>
    <w:p w:rsidR="00C85E58" w:rsidRPr="001778C5" w:rsidRDefault="00C85E58" w:rsidP="00C85E58">
      <w:pPr>
        <w:pStyle w:val="Caption"/>
      </w:pPr>
      <w:r>
        <w:t>Таб. 5.</w:t>
      </w:r>
      <w:fldSimple w:instr=" SEQ Таб. \* ARABIC \s 1 ">
        <w:r>
          <w:rPr>
            <w:noProof/>
          </w:rPr>
          <w:t>1</w:t>
        </w:r>
      </w:fldSimple>
      <w:r>
        <w:t>.</w:t>
      </w:r>
      <w:r w:rsidRPr="001778C5">
        <w:t xml:space="preserve"> </w:t>
      </w:r>
      <w:r>
        <w:t>Яркость некоторых объектов</w:t>
      </w:r>
    </w:p>
    <w:tbl>
      <w:tblPr>
        <w:tblStyle w:val="W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7128"/>
        <w:gridCol w:w="2443"/>
      </w:tblGrid>
      <w:tr w:rsidR="00C85E58" w:rsidRPr="00346B67" w:rsidTr="00376B6D">
        <w:tc>
          <w:tcPr>
            <w:tcW w:w="7128" w:type="dxa"/>
          </w:tcPr>
          <w:p w:rsidR="00C85E58" w:rsidRPr="00346B67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color w:val="000000"/>
              </w:rPr>
            </w:pPr>
            <w:r w:rsidRPr="00346B67">
              <w:rPr>
                <w:color w:val="000000"/>
              </w:rPr>
              <w:t>Параметр</w:t>
            </w:r>
          </w:p>
        </w:tc>
        <w:tc>
          <w:tcPr>
            <w:tcW w:w="2443" w:type="dxa"/>
          </w:tcPr>
          <w:p w:rsidR="00C85E58" w:rsidRPr="00346B67" w:rsidRDefault="00C85E58" w:rsidP="00376B6D">
            <w:p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6B67">
              <w:rPr>
                <w:rFonts w:ascii="Times New Roman" w:hAnsi="Times New Roman"/>
                <w:color w:val="000000"/>
                <w:sz w:val="24"/>
                <w:szCs w:val="24"/>
              </w:rPr>
              <w:t>Значение</w:t>
            </w:r>
          </w:p>
        </w:tc>
      </w:tr>
      <w:tr w:rsidR="00C85E58" w:rsidRPr="00346B67" w:rsidTr="00376B6D">
        <w:tc>
          <w:tcPr>
            <w:tcW w:w="7128" w:type="dxa"/>
          </w:tcPr>
          <w:p w:rsidR="00C85E58" w:rsidRPr="00346B67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color w:val="000000"/>
              </w:rPr>
            </w:pPr>
            <w:r w:rsidRPr="00346B67">
              <w:rPr>
                <w:color w:val="000000"/>
              </w:rPr>
              <w:t>Яркость светящихся поверхностей, попадающих в поле зрения</w:t>
            </w:r>
          </w:p>
        </w:tc>
        <w:tc>
          <w:tcPr>
            <w:tcW w:w="2443" w:type="dxa"/>
          </w:tcPr>
          <w:p w:rsidR="00C85E58" w:rsidRPr="00346B67" w:rsidRDefault="00C85E58" w:rsidP="00376B6D">
            <w:pPr>
              <w:ind w:left="7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6B67">
              <w:rPr>
                <w:rFonts w:ascii="Times New Roman" w:hAnsi="Times New Roman"/>
                <w:color w:val="000000"/>
                <w:sz w:val="24"/>
                <w:szCs w:val="24"/>
              </w:rPr>
              <w:t>&lt; 200 кд/кв</w:t>
            </w:r>
            <w:proofErr w:type="gramStart"/>
            <w:r w:rsidRPr="00346B67">
              <w:rPr>
                <w:rFonts w:ascii="Times New Roman" w:hAnsi="Times New Roman"/>
                <w:color w:val="000000"/>
                <w:sz w:val="24"/>
                <w:szCs w:val="24"/>
              </w:rPr>
              <w:t>.м</w:t>
            </w:r>
            <w:proofErr w:type="gramEnd"/>
          </w:p>
        </w:tc>
      </w:tr>
      <w:tr w:rsidR="00C85E58" w:rsidRPr="00346B67" w:rsidTr="00376B6D">
        <w:tc>
          <w:tcPr>
            <w:tcW w:w="7128" w:type="dxa"/>
          </w:tcPr>
          <w:p w:rsidR="00C85E58" w:rsidRPr="00346B67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color w:val="000000"/>
              </w:rPr>
            </w:pPr>
            <w:r w:rsidRPr="00346B67">
              <w:rPr>
                <w:color w:val="000000"/>
              </w:rPr>
              <w:t>Яркость бликов на экране ВДТ и ПЭВМ</w:t>
            </w:r>
          </w:p>
        </w:tc>
        <w:tc>
          <w:tcPr>
            <w:tcW w:w="2443" w:type="dxa"/>
          </w:tcPr>
          <w:p w:rsidR="00C85E58" w:rsidRPr="00346B67" w:rsidRDefault="00C85E58" w:rsidP="00376B6D">
            <w:pPr>
              <w:ind w:left="72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B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&lt; </w:t>
            </w:r>
            <w:r w:rsidRPr="00346B67">
              <w:rPr>
                <w:rFonts w:ascii="Times New Roman" w:hAnsi="Times New Roman"/>
                <w:color w:val="000000"/>
                <w:sz w:val="24"/>
                <w:szCs w:val="24"/>
              </w:rPr>
              <w:t>40 кд/кв.м</w:t>
            </w:r>
          </w:p>
        </w:tc>
      </w:tr>
      <w:tr w:rsidR="00C85E58" w:rsidRPr="00346B67" w:rsidTr="00376B6D">
        <w:tc>
          <w:tcPr>
            <w:tcW w:w="7128" w:type="dxa"/>
          </w:tcPr>
          <w:p w:rsidR="00C85E58" w:rsidRPr="00346B67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color w:val="000000"/>
              </w:rPr>
            </w:pPr>
            <w:r w:rsidRPr="00346B67">
              <w:rPr>
                <w:color w:val="000000"/>
              </w:rPr>
              <w:t>Яркость потолка при применении системы отраженного</w:t>
            </w:r>
            <w:r>
              <w:rPr>
                <w:color w:val="000000"/>
              </w:rPr>
              <w:t xml:space="preserve"> </w:t>
            </w:r>
            <w:r w:rsidRPr="00346B67">
              <w:rPr>
                <w:color w:val="000000"/>
              </w:rPr>
              <w:t>освещения</w:t>
            </w:r>
            <w:r>
              <w:rPr>
                <w:color w:val="000000"/>
              </w:rPr>
              <w:t xml:space="preserve"> </w:t>
            </w:r>
            <w:r w:rsidRPr="00346B67">
              <w:rPr>
                <w:color w:val="000000"/>
              </w:rPr>
              <w:t xml:space="preserve">(Для уменьшения используются матовые </w:t>
            </w:r>
            <w:proofErr w:type="spellStart"/>
            <w:r w:rsidRPr="00346B67">
              <w:rPr>
                <w:color w:val="000000"/>
              </w:rPr>
              <w:t>неотражающие</w:t>
            </w:r>
            <w:proofErr w:type="spellEnd"/>
            <w:r w:rsidRPr="00346B67">
              <w:rPr>
                <w:color w:val="000000"/>
              </w:rPr>
              <w:t xml:space="preserve"> материалы и защитные колпаки.)</w:t>
            </w:r>
          </w:p>
        </w:tc>
        <w:tc>
          <w:tcPr>
            <w:tcW w:w="2443" w:type="dxa"/>
          </w:tcPr>
          <w:p w:rsidR="00C85E58" w:rsidRPr="00346B67" w:rsidRDefault="00C85E58" w:rsidP="00376B6D">
            <w:pPr>
              <w:ind w:left="72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46B6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346B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200 кд/кв.м</w:t>
            </w:r>
          </w:p>
        </w:tc>
      </w:tr>
      <w:tr w:rsidR="00C85E58" w:rsidRPr="00346B67" w:rsidTr="00376B6D">
        <w:tc>
          <w:tcPr>
            <w:tcW w:w="7128" w:type="dxa"/>
          </w:tcPr>
          <w:p w:rsidR="00C85E58" w:rsidRPr="00346B67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color w:val="000000"/>
              </w:rPr>
            </w:pPr>
            <w:r w:rsidRPr="00346B67">
              <w:rPr>
                <w:color w:val="000000"/>
              </w:rPr>
              <w:t xml:space="preserve">Источники света при искусственном освещении </w:t>
            </w:r>
          </w:p>
          <w:p w:rsidR="00C85E58" w:rsidRPr="00346B67" w:rsidRDefault="00C85E58" w:rsidP="00376B6D">
            <w:pPr>
              <w:ind w:left="288"/>
              <w:jc w:val="both"/>
              <w:rPr>
                <w:color w:val="000000"/>
              </w:rPr>
            </w:pPr>
          </w:p>
        </w:tc>
        <w:tc>
          <w:tcPr>
            <w:tcW w:w="2443" w:type="dxa"/>
          </w:tcPr>
          <w:p w:rsidR="00C85E58" w:rsidRPr="00346B67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color w:val="000000"/>
              </w:rPr>
            </w:pPr>
            <w:r w:rsidRPr="00346B67">
              <w:rPr>
                <w:color w:val="000000"/>
              </w:rPr>
              <w:t>Должны применяться преимущественно</w:t>
            </w:r>
            <w:r>
              <w:rPr>
                <w:color w:val="000000"/>
              </w:rPr>
              <w:t xml:space="preserve"> </w:t>
            </w:r>
            <w:r w:rsidRPr="00346B67">
              <w:rPr>
                <w:color w:val="000000"/>
              </w:rPr>
              <w:t>люминесцентные лампы типа ЛБ с коэффициентом пульсации не  больше 5%.</w:t>
            </w:r>
          </w:p>
        </w:tc>
      </w:tr>
    </w:tbl>
    <w:p w:rsidR="00C85E58" w:rsidRDefault="00C85E58" w:rsidP="00C85E58"/>
    <w:p w:rsidR="00C85E58" w:rsidRDefault="00C85E58" w:rsidP="00C85E58">
      <w:pPr>
        <w:pStyle w:val="W20"/>
        <w:spacing w:before="100" w:line="360" w:lineRule="auto"/>
      </w:pPr>
      <w:bookmarkStart w:id="7" w:name="_Toc42059591"/>
      <w:bookmarkStart w:id="8" w:name="_Toc44096407"/>
      <w:bookmarkStart w:id="9" w:name="_Toc75540028"/>
      <w:r>
        <w:t>5.1.2.</w:t>
      </w:r>
      <w:r>
        <w:tab/>
        <w:t>Электрические и магнитные поля</w:t>
      </w:r>
      <w:bookmarkEnd w:id="7"/>
      <w:bookmarkEnd w:id="8"/>
      <w:bookmarkEnd w:id="9"/>
    </w:p>
    <w:p w:rsidR="00C85E58" w:rsidRDefault="00C85E58" w:rsidP="00C85E58">
      <w:pPr>
        <w:pStyle w:val="Li"/>
        <w:numPr>
          <w:ilvl w:val="0"/>
          <w:numId w:val="0"/>
        </w:numPr>
        <w:spacing w:after="100" w:afterAutospacing="1"/>
        <w:ind w:firstLine="708"/>
        <w:jc w:val="both"/>
      </w:pPr>
      <w:r>
        <w:t xml:space="preserve">Практические все составные части ПЭВМ (системный блок, монитор, дисковые накопители, принтер, сканер) являются источниками электромагнитных полей, которые взаимодействуя формируют сложную электромагнитную обстановку на рабочем месте оператора. </w:t>
      </w:r>
    </w:p>
    <w:p w:rsidR="00C85E58" w:rsidRDefault="00C85E58" w:rsidP="00C85E58">
      <w:pPr>
        <w:pStyle w:val="Caption"/>
      </w:pPr>
      <w:r>
        <w:t>Таб. 5.</w:t>
      </w:r>
      <w:fldSimple w:instr=" SEQ Таб. \* ARABIC \s 1 ">
        <w:r>
          <w:rPr>
            <w:noProof/>
          </w:rPr>
          <w:t>2</w:t>
        </w:r>
      </w:fldSimple>
      <w:r>
        <w:t xml:space="preserve">. </w:t>
      </w:r>
      <w:r w:rsidRPr="00101C76">
        <w:t>Частоты электромагнитных полей</w:t>
      </w:r>
    </w:p>
    <w:tbl>
      <w:tblPr>
        <w:tblW w:w="80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5388"/>
        <w:gridCol w:w="2692"/>
      </w:tblGrid>
      <w:tr w:rsidR="00C85E58" w:rsidRPr="004F76B9" w:rsidTr="00376B6D">
        <w:trPr>
          <w:trHeight w:val="115"/>
          <w:jc w:val="center"/>
        </w:trPr>
        <w:tc>
          <w:tcPr>
            <w:tcW w:w="3334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Источник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Диапазон частот</w:t>
            </w:r>
          </w:p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(первая гармоника)</w:t>
            </w:r>
          </w:p>
        </w:tc>
      </w:tr>
      <w:tr w:rsidR="00C85E58" w:rsidTr="00376B6D">
        <w:trPr>
          <w:trHeight w:val="15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proofErr w:type="spellStart"/>
            <w:r>
              <w:rPr>
                <w:rStyle w:val="Strong"/>
                <w:b w:val="0"/>
                <w:bCs w:val="0"/>
              </w:rPr>
              <w:lastRenderedPageBreak/>
              <w:t>Помехогасящие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фильтры в</w:t>
            </w:r>
            <w:r>
              <w:t xml:space="preserve"> блоках питания</w:t>
            </w:r>
          </w:p>
        </w:tc>
        <w:tc>
          <w:tcPr>
            <w:tcW w:w="1666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50 Гц</w:t>
            </w:r>
          </w:p>
        </w:tc>
      </w:tr>
      <w:tr w:rsidR="00C85E58" w:rsidTr="00376B6D">
        <w:trPr>
          <w:trHeight w:val="17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Преобразователь напряжения в импульсном блоке питания</w:t>
            </w:r>
          </w:p>
        </w:tc>
        <w:tc>
          <w:tcPr>
            <w:tcW w:w="1666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20 кГц – 100 кГц</w:t>
            </w:r>
          </w:p>
        </w:tc>
      </w:tr>
      <w:tr w:rsidR="00C85E58" w:rsidTr="00376B6D">
        <w:trPr>
          <w:trHeight w:val="15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Блок кадровой развертки и синхронизации</w:t>
            </w:r>
          </w:p>
        </w:tc>
        <w:tc>
          <w:tcPr>
            <w:tcW w:w="1666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48 Гц – 160 Гц</w:t>
            </w:r>
          </w:p>
        </w:tc>
      </w:tr>
      <w:tr w:rsidR="00C85E58" w:rsidTr="00376B6D">
        <w:trPr>
          <w:trHeight w:val="15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Блок строчной развертки и синхронизации</w:t>
            </w:r>
          </w:p>
        </w:tc>
        <w:tc>
          <w:tcPr>
            <w:tcW w:w="1666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15 кГц – 110 кГц</w:t>
            </w:r>
          </w:p>
        </w:tc>
      </w:tr>
      <w:tr w:rsidR="00C85E58" w:rsidTr="00376B6D">
        <w:trPr>
          <w:trHeight w:val="51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rStyle w:val="Strong"/>
                <w:b w:val="0"/>
                <w:bCs w:val="0"/>
              </w:rPr>
              <w:t>Процессор</w:t>
            </w:r>
          </w:p>
        </w:tc>
        <w:tc>
          <w:tcPr>
            <w:tcW w:w="1666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50 Гц</w:t>
            </w:r>
            <w:r>
              <w:t> – 1000 МГц</w:t>
            </w:r>
          </w:p>
        </w:tc>
      </w:tr>
      <w:tr w:rsidR="00C85E58" w:rsidTr="00376B6D">
        <w:trPr>
          <w:trHeight w:val="15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rStyle w:val="Strong"/>
                <w:b w:val="0"/>
                <w:bCs w:val="0"/>
              </w:rPr>
              <w:t>Другие устройства</w:t>
            </w:r>
          </w:p>
        </w:tc>
        <w:tc>
          <w:tcPr>
            <w:tcW w:w="1666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0 Гц, 50 Гц</w:t>
            </w:r>
          </w:p>
        </w:tc>
      </w:tr>
      <w:tr w:rsidR="00C85E58" w:rsidTr="00376B6D">
        <w:trPr>
          <w:trHeight w:val="15"/>
          <w:jc w:val="center"/>
        </w:trPr>
        <w:tc>
          <w:tcPr>
            <w:tcW w:w="3334" w:type="pct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rStyle w:val="Strong"/>
                <w:b w:val="0"/>
                <w:bCs w:val="0"/>
              </w:rPr>
              <w:t>Источники бесперебойного питания</w:t>
            </w:r>
          </w:p>
        </w:tc>
        <w:tc>
          <w:tcPr>
            <w:tcW w:w="1666" w:type="pct"/>
            <w:vAlign w:val="center"/>
          </w:tcPr>
          <w:p w:rsidR="00C85E58" w:rsidRDefault="005C50F7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50 Гц, 20</w:t>
            </w:r>
            <w:r w:rsidR="00C85E58">
              <w:t xml:space="preserve"> кГц – 100 кГц</w:t>
            </w:r>
          </w:p>
        </w:tc>
      </w:tr>
    </w:tbl>
    <w:p w:rsidR="00C85E58" w:rsidRDefault="00C85E58" w:rsidP="00C85E58">
      <w:pPr>
        <w:jc w:val="both"/>
      </w:pPr>
    </w:p>
    <w:p w:rsidR="00C85E58" w:rsidRPr="000D713D" w:rsidRDefault="00C85E58" w:rsidP="00C85E58">
      <w:pPr>
        <w:ind w:firstLine="708"/>
        <w:jc w:val="both"/>
        <w:rPr>
          <w:rFonts w:ascii="Times New Roman" w:hAnsi="Times New Roman"/>
          <w:sz w:val="24"/>
          <w:szCs w:val="24"/>
        </w:rPr>
      </w:pPr>
      <w:fldSimple w:instr=" REF _Ref75099675 \h  \* MERGEFORMAT ">
        <w:r w:rsidRPr="002162D9">
          <w:rPr>
            <w:rFonts w:ascii="Times New Roman" w:hAnsi="Times New Roman"/>
            <w:sz w:val="24"/>
            <w:szCs w:val="24"/>
          </w:rPr>
          <w:t xml:space="preserve">Таб. </w:t>
        </w:r>
        <w:r w:rsidRPr="002162D9">
          <w:rPr>
            <w:rFonts w:ascii="Times New Roman" w:hAnsi="Times New Roman"/>
            <w:noProof/>
            <w:sz w:val="24"/>
            <w:szCs w:val="24"/>
          </w:rPr>
          <w:t>5</w:t>
        </w:r>
      </w:fldSimple>
      <w:r w:rsidRPr="00B81DF0">
        <w:rPr>
          <w:rFonts w:ascii="Times New Roman" w:hAnsi="Times New Roman"/>
          <w:sz w:val="24"/>
          <w:szCs w:val="24"/>
        </w:rPr>
        <w:t>.3</w:t>
      </w:r>
      <w:r w:rsidRPr="000D713D">
        <w:rPr>
          <w:rFonts w:ascii="Times New Roman" w:hAnsi="Times New Roman"/>
          <w:sz w:val="24"/>
          <w:szCs w:val="24"/>
        </w:rPr>
        <w:t xml:space="preserve"> показывает примерные значения величин полей для среднестатистических рабочих мест оператора ПЭВМ.</w:t>
      </w:r>
    </w:p>
    <w:p w:rsidR="00C85E58" w:rsidRDefault="00C85E58" w:rsidP="00C85E58">
      <w:pPr>
        <w:pStyle w:val="Caption"/>
      </w:pPr>
      <w:bookmarkStart w:id="10" w:name="_Ref75099675"/>
      <w:r>
        <w:t>Таб. 5</w:t>
      </w:r>
      <w:bookmarkEnd w:id="10"/>
      <w:r>
        <w:t>.3. З</w:t>
      </w:r>
      <w:r w:rsidRPr="000D713D">
        <w:t>начения величин полей для рабочих мест оператора ПЭВМ</w:t>
      </w:r>
    </w:p>
    <w:tbl>
      <w:tblPr>
        <w:tblW w:w="86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3197"/>
        <w:gridCol w:w="2765"/>
        <w:gridCol w:w="2678"/>
      </w:tblGrid>
      <w:tr w:rsidR="00C85E58" w:rsidTr="00376B6D">
        <w:trPr>
          <w:trHeight w:val="133"/>
          <w:jc w:val="center"/>
        </w:trPr>
        <w:tc>
          <w:tcPr>
            <w:tcW w:w="1850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Наименование измеряемых параметров</w:t>
            </w:r>
          </w:p>
        </w:tc>
        <w:tc>
          <w:tcPr>
            <w:tcW w:w="1600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Диапазон частот</w:t>
            </w:r>
          </w:p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5 Гц - 2 кГц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Диапазон частот</w:t>
            </w:r>
          </w:p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2 - 400 кГц</w:t>
            </w:r>
          </w:p>
        </w:tc>
      </w:tr>
      <w:tr w:rsidR="00C85E58" w:rsidTr="00376B6D">
        <w:trPr>
          <w:jc w:val="center"/>
        </w:trPr>
        <w:tc>
          <w:tcPr>
            <w:tcW w:w="1850" w:type="pct"/>
            <w:shd w:val="clear" w:color="auto" w:fill="FFFFFF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Напряженность переменного электрического поля, (В/м)</w:t>
            </w:r>
          </w:p>
        </w:tc>
        <w:tc>
          <w:tcPr>
            <w:tcW w:w="1600" w:type="pct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1,0 - 35,0</w:t>
            </w:r>
          </w:p>
        </w:tc>
        <w:tc>
          <w:tcPr>
            <w:tcW w:w="1550" w:type="pct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0,1 - 1,1</w:t>
            </w:r>
          </w:p>
        </w:tc>
      </w:tr>
      <w:tr w:rsidR="00C85E58" w:rsidTr="00376B6D">
        <w:trPr>
          <w:jc w:val="center"/>
        </w:trPr>
        <w:tc>
          <w:tcPr>
            <w:tcW w:w="1850" w:type="pct"/>
            <w:shd w:val="clear" w:color="auto" w:fill="FFFFFF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Индукция переменного магнитного поля, (нТл)</w:t>
            </w:r>
          </w:p>
        </w:tc>
        <w:tc>
          <w:tcPr>
            <w:tcW w:w="1600" w:type="pct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6,0 - 770,0</w:t>
            </w:r>
          </w:p>
        </w:tc>
        <w:tc>
          <w:tcPr>
            <w:tcW w:w="1550" w:type="pct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1,0 - 32,0</w:t>
            </w:r>
          </w:p>
        </w:tc>
      </w:tr>
    </w:tbl>
    <w:p w:rsidR="00C85E58" w:rsidRDefault="00C85E58" w:rsidP="00C85E58">
      <w:pPr>
        <w:pStyle w:val="BodyTextIndent"/>
        <w:jc w:val="both"/>
      </w:pP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 xml:space="preserve">В нижеприводимой таблице показаны данные Шведского Института защиты от излучений об излучениях мониторов. </w:t>
      </w:r>
    </w:p>
    <w:p w:rsidR="00C85E58" w:rsidRDefault="00C85E58" w:rsidP="00C85E58">
      <w:pPr>
        <w:pStyle w:val="Caption"/>
      </w:pPr>
      <w:r>
        <w:t>Таб. 5.</w:t>
      </w:r>
      <w:r w:rsidRPr="00C85E58">
        <w:t>4</w:t>
      </w:r>
      <w:r>
        <w:t>. Значения величин полей для ЭЛТ</w:t>
      </w:r>
      <w:r>
        <w:rPr>
          <w:szCs w:val="24"/>
        </w:rPr>
        <w:t xml:space="preserve"> мониторов</w:t>
      </w:r>
    </w:p>
    <w:tbl>
      <w:tblPr>
        <w:tblW w:w="90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767"/>
        <w:gridCol w:w="870"/>
        <w:gridCol w:w="872"/>
        <w:gridCol w:w="872"/>
        <w:gridCol w:w="871"/>
        <w:gridCol w:w="876"/>
        <w:gridCol w:w="872"/>
      </w:tblGrid>
      <w:tr w:rsidR="00C85E58" w:rsidTr="00376B6D">
        <w:trPr>
          <w:cantSplit/>
          <w:jc w:val="center"/>
        </w:trPr>
        <w:tc>
          <w:tcPr>
            <w:tcW w:w="3767" w:type="dxa"/>
            <w:tcBorders>
              <w:top w:val="nil"/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</w:p>
        </w:tc>
        <w:tc>
          <w:tcPr>
            <w:tcW w:w="2614" w:type="dxa"/>
            <w:gridSpan w:val="3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rPr>
                <w:rStyle w:val="Strong"/>
                <w:b w:val="0"/>
                <w:bCs w:val="0"/>
              </w:rPr>
              <w:t>Среднее значение</w:t>
            </w:r>
          </w:p>
        </w:tc>
        <w:tc>
          <w:tcPr>
            <w:tcW w:w="2619" w:type="dxa"/>
            <w:gridSpan w:val="3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rPr>
                <w:rStyle w:val="Strong"/>
                <w:b w:val="0"/>
                <w:bCs w:val="0"/>
              </w:rPr>
              <w:t>Максимальное значение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Расстояние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smartTag w:uri="urn:schemas-microsoft-com:office:smarttags" w:element="metricconverter">
              <w:smartTagPr>
                <w:attr w:name="ProductID" w:val="0,5 м"/>
              </w:smartTagPr>
              <w:r w:rsidRPr="004F76B9">
                <w:rPr>
                  <w:rStyle w:val="Strong"/>
                  <w:b w:val="0"/>
                  <w:bCs w:val="0"/>
                </w:rPr>
                <w:t>0,5 м</w:t>
              </w:r>
            </w:smartTag>
          </w:p>
        </w:tc>
        <w:tc>
          <w:tcPr>
            <w:tcW w:w="872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smartTag w:uri="urn:schemas-microsoft-com:office:smarttags" w:element="metricconverter">
              <w:smartTagPr>
                <w:attr w:name="ProductID" w:val="0,3 м"/>
              </w:smartTagPr>
              <w:r w:rsidRPr="004F76B9">
                <w:rPr>
                  <w:rStyle w:val="Strong"/>
                  <w:b w:val="0"/>
                  <w:bCs w:val="0"/>
                </w:rPr>
                <w:t>0,3 м</w:t>
              </w:r>
            </w:smartTag>
          </w:p>
        </w:tc>
        <w:tc>
          <w:tcPr>
            <w:tcW w:w="1747" w:type="dxa"/>
            <w:gridSpan w:val="2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smartTag w:uri="urn:schemas-microsoft-com:office:smarttags" w:element="metricconverter">
              <w:smartTagPr>
                <w:attr w:name="ProductID" w:val="0,5 м"/>
              </w:smartTagPr>
              <w:r w:rsidRPr="004F76B9">
                <w:rPr>
                  <w:rStyle w:val="Strong"/>
                  <w:b w:val="0"/>
                  <w:bCs w:val="0"/>
                </w:rPr>
                <w:t>0,5 м</w:t>
              </w:r>
            </w:smartTag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smartTag w:uri="urn:schemas-microsoft-com:office:smarttags" w:element="metricconverter">
              <w:smartTagPr>
                <w:attr w:name="ProductID" w:val="0,3 м"/>
              </w:smartTagPr>
              <w:r>
                <w:rPr>
                  <w:rStyle w:val="Strong"/>
                  <w:b w:val="0"/>
                  <w:bCs w:val="0"/>
                </w:rPr>
                <w:t>0,3 м</w:t>
              </w:r>
            </w:smartTag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Направление излучения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по оси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вокруг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по оси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вокруг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rStyle w:val="Strong"/>
                <w:b w:val="0"/>
                <w:bCs w:val="0"/>
              </w:rPr>
              <w:t>по оси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rStyle w:val="Strong"/>
                <w:b w:val="0"/>
                <w:bCs w:val="0"/>
              </w:rPr>
              <w:t>по оси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магнитное поле, 5Гц- 2кГц, нТл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 200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 200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 200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260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500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730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lastRenderedPageBreak/>
              <w:t>магнитное поле, 2- 400 кГц, нТл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 10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13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szCs w:val="16"/>
              </w:rPr>
              <w:t>нет данных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52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52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szCs w:val="16"/>
              </w:rPr>
              <w:t>нет данных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электрическое поле, 5Гц- 2кГц, В/</w:t>
            </w:r>
            <w:proofErr w:type="gramStart"/>
            <w:r>
              <w:t>м</w:t>
            </w:r>
            <w:proofErr w:type="gramEnd"/>
          </w:p>
        </w:tc>
        <w:tc>
          <w:tcPr>
            <w:tcW w:w="870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 10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szCs w:val="16"/>
              </w:rPr>
            </w:pPr>
            <w:r>
              <w:rPr>
                <w:szCs w:val="16"/>
              </w:rPr>
              <w:t>нет данных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17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74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szCs w:val="16"/>
              </w:rPr>
              <w:t>нет данных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152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электрическое поле, 2- 400 кГц, В/</w:t>
            </w:r>
            <w:proofErr w:type="gramStart"/>
            <w:r>
              <w:t>м</w:t>
            </w:r>
            <w:proofErr w:type="gramEnd"/>
          </w:p>
        </w:tc>
        <w:tc>
          <w:tcPr>
            <w:tcW w:w="870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1,7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1,9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4,2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12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32</w:t>
            </w:r>
          </w:p>
        </w:tc>
      </w:tr>
    </w:tbl>
    <w:p w:rsidR="00C85E58" w:rsidRPr="00AD35E2" w:rsidRDefault="00C85E58" w:rsidP="00C85E58">
      <w:pPr>
        <w:jc w:val="both"/>
        <w:rPr>
          <w:rFonts w:ascii="Times New Roman" w:hAnsi="Times New Roman"/>
          <w:lang w:val="en-US"/>
        </w:rPr>
      </w:pPr>
    </w:p>
    <w:p w:rsidR="00C85E58" w:rsidRPr="00AD35E2" w:rsidRDefault="00C85E58" w:rsidP="00C85E58">
      <w:pPr>
        <w:jc w:val="both"/>
        <w:rPr>
          <w:rFonts w:ascii="Times New Roman" w:hAnsi="Times New Roman"/>
          <w:sz w:val="24"/>
          <w:szCs w:val="24"/>
        </w:rPr>
      </w:pPr>
      <w:r w:rsidRPr="00C85E58">
        <w:rPr>
          <w:rFonts w:ascii="Times New Roman" w:hAnsi="Times New Roman"/>
          <w:sz w:val="24"/>
          <w:szCs w:val="24"/>
        </w:rPr>
        <w:tab/>
      </w:r>
      <w:proofErr w:type="gramStart"/>
      <w:r w:rsidRPr="00AD35E2">
        <w:rPr>
          <w:rFonts w:ascii="Times New Roman" w:hAnsi="Times New Roman"/>
          <w:sz w:val="24"/>
          <w:szCs w:val="24"/>
        </w:rPr>
        <w:t xml:space="preserve">Согласно международному стандарту </w:t>
      </w:r>
      <w:r w:rsidRPr="00AD35E2">
        <w:rPr>
          <w:rFonts w:ascii="Times New Roman" w:hAnsi="Times New Roman"/>
          <w:sz w:val="24"/>
          <w:szCs w:val="24"/>
          <w:lang w:val="en-US"/>
        </w:rPr>
        <w:t>TCO</w:t>
      </w:r>
      <w:r w:rsidRPr="00AD35E2">
        <w:rPr>
          <w:rFonts w:ascii="Times New Roman" w:hAnsi="Times New Roman"/>
          <w:sz w:val="24"/>
          <w:szCs w:val="24"/>
        </w:rPr>
        <w:t>’03, для ЖК мониторов регламентированы следующие требования по электрическому и магнитному излучениям:</w:t>
      </w:r>
      <w:proofErr w:type="gramEnd"/>
    </w:p>
    <w:p w:rsidR="00C85E58" w:rsidRPr="00785994" w:rsidRDefault="00C85E58" w:rsidP="00C85E58">
      <w:pPr>
        <w:jc w:val="both"/>
        <w:rPr>
          <w:rFonts w:ascii="Times New Roman" w:hAnsi="Times New Roman"/>
          <w:sz w:val="24"/>
          <w:szCs w:val="24"/>
        </w:rPr>
      </w:pPr>
      <w:r w:rsidRPr="00785994">
        <w:rPr>
          <w:rFonts w:ascii="Times New Roman" w:hAnsi="Times New Roman"/>
          <w:sz w:val="24"/>
          <w:szCs w:val="24"/>
        </w:rPr>
        <w:t xml:space="preserve">Таб. 5.5. Значения величин полей согласно </w:t>
      </w:r>
      <w:r w:rsidRPr="00785994">
        <w:rPr>
          <w:rFonts w:ascii="Times New Roman" w:hAnsi="Times New Roman"/>
          <w:sz w:val="24"/>
          <w:szCs w:val="24"/>
          <w:lang w:val="en-US"/>
        </w:rPr>
        <w:t>TCO</w:t>
      </w:r>
      <w:r w:rsidRPr="00785994">
        <w:rPr>
          <w:rFonts w:ascii="Times New Roman" w:hAnsi="Times New Roman"/>
          <w:sz w:val="24"/>
          <w:szCs w:val="24"/>
        </w:rPr>
        <w:t>’03 для ЖК мониторов</w:t>
      </w:r>
    </w:p>
    <w:tbl>
      <w:tblPr>
        <w:tblW w:w="6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767"/>
        <w:gridCol w:w="1456"/>
        <w:gridCol w:w="1158"/>
      </w:tblGrid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Расстояние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smartTag w:uri="urn:schemas-microsoft-com:office:smarttags" w:element="metricconverter">
              <w:smartTagPr>
                <w:attr w:name="ProductID" w:val="0,5 м"/>
              </w:smartTagPr>
              <w:r w:rsidRPr="004F76B9">
                <w:rPr>
                  <w:rStyle w:val="Strong"/>
                  <w:b w:val="0"/>
                  <w:bCs w:val="0"/>
                </w:rPr>
                <w:t>0,5 м</w:t>
              </w:r>
            </w:smartTag>
          </w:p>
        </w:tc>
        <w:tc>
          <w:tcPr>
            <w:tcW w:w="1158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smartTag w:uri="urn:schemas-microsoft-com:office:smarttags" w:element="metricconverter">
              <w:smartTagPr>
                <w:attr w:name="ProductID" w:val="0,3 м"/>
              </w:smartTagPr>
              <w:r w:rsidRPr="004F76B9">
                <w:rPr>
                  <w:rStyle w:val="Strong"/>
                  <w:b w:val="0"/>
                  <w:bCs w:val="0"/>
                </w:rPr>
                <w:t>0,3 м</w:t>
              </w:r>
            </w:smartTag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Направление излучения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по оси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по оси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магнитное поле, 5Гц- 2кГц, нТл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</w:t>
            </w:r>
            <w:r>
              <w:rPr>
                <w:lang w:val="en-US"/>
              </w:rPr>
              <w:t>=</w:t>
            </w:r>
            <w:r>
              <w:t xml:space="preserve"> 200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&lt;</w:t>
            </w:r>
            <w:r>
              <w:rPr>
                <w:lang w:val="en-US"/>
              </w:rPr>
              <w:t>=</w:t>
            </w:r>
            <w:r>
              <w:t xml:space="preserve"> 200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магнитное поле, 2- 400 кГц, нТл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85E58" w:rsidRPr="000B216F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t>&lt;</w:t>
            </w:r>
            <w:r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25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szCs w:val="16"/>
              </w:rPr>
              <w:t>нет данных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электрическое поле, 5Гц- 2кГц, В/</w:t>
            </w:r>
            <w:proofErr w:type="gramStart"/>
            <w:r>
              <w:t>м</w:t>
            </w:r>
            <w:proofErr w:type="gramEnd"/>
          </w:p>
        </w:tc>
        <w:tc>
          <w:tcPr>
            <w:tcW w:w="145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szCs w:val="16"/>
              </w:rPr>
            </w:pPr>
            <w:r>
              <w:t>&lt;</w:t>
            </w:r>
            <w:r>
              <w:rPr>
                <w:lang w:val="en-US"/>
              </w:rPr>
              <w:t>=</w:t>
            </w:r>
            <w:r>
              <w:t xml:space="preserve"> 10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C85E58" w:rsidRPr="000B216F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&lt;= 10</w:t>
            </w:r>
          </w:p>
        </w:tc>
      </w:tr>
      <w:tr w:rsidR="00C85E58" w:rsidTr="00376B6D">
        <w:trPr>
          <w:cantSplit/>
          <w:jc w:val="center"/>
        </w:trPr>
        <w:tc>
          <w:tcPr>
            <w:tcW w:w="376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t>электрическое поле, 2- 400 кГц, В/</w:t>
            </w:r>
            <w:proofErr w:type="gramStart"/>
            <w:r>
              <w:t>м</w:t>
            </w:r>
            <w:proofErr w:type="gramEnd"/>
          </w:p>
        </w:tc>
        <w:tc>
          <w:tcPr>
            <w:tcW w:w="1456" w:type="dxa"/>
            <w:shd w:val="clear" w:color="auto" w:fill="auto"/>
            <w:vAlign w:val="center"/>
          </w:tcPr>
          <w:p w:rsidR="00C85E58" w:rsidRPr="000B216F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&lt;= 1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>
              <w:rPr>
                <w:lang w:val="en-US"/>
              </w:rPr>
              <w:t>&lt;= 1</w:t>
            </w:r>
          </w:p>
        </w:tc>
      </w:tr>
    </w:tbl>
    <w:p w:rsidR="00C85E58" w:rsidRPr="000B216F" w:rsidRDefault="00C85E58" w:rsidP="00C85E58">
      <w:pPr>
        <w:jc w:val="both"/>
      </w:pPr>
    </w:p>
    <w:p w:rsidR="00C85E58" w:rsidRDefault="00C85E58" w:rsidP="00C85E58">
      <w:pPr>
        <w:pStyle w:val="BodyTextIndent"/>
        <w:spacing w:after="100" w:afterAutospacing="1" w:line="360" w:lineRule="auto"/>
        <w:ind w:left="0" w:firstLine="720"/>
        <w:jc w:val="both"/>
      </w:pPr>
      <w:r>
        <w:t>В</w:t>
      </w:r>
      <w:proofErr w:type="gramStart"/>
      <w:r>
        <w:t xml:space="preserve"> </w:t>
      </w:r>
      <w:r>
        <w:fldChar w:fldCharType="begin"/>
      </w:r>
      <w:r>
        <w:instrText xml:space="preserve"> REF _Ref75099726 \h </w:instrText>
      </w:r>
      <w:r>
        <w:instrText xml:space="preserve"> \* MERGEFORMAT </w:instrText>
      </w:r>
      <w:r>
        <w:fldChar w:fldCharType="separate"/>
      </w:r>
      <w:r>
        <w:t>Т</w:t>
      </w:r>
      <w:proofErr w:type="gramEnd"/>
      <w:r>
        <w:t>аб. 5.</w:t>
      </w:r>
      <w:r>
        <w:fldChar w:fldCharType="end"/>
      </w:r>
      <w:r w:rsidRPr="00B81DF0">
        <w:t>6.</w:t>
      </w:r>
      <w:r>
        <w:t xml:space="preserve"> приводятся предельно допустимые уровни электрического и магнитного полей в соответствии с </w:t>
      </w:r>
      <w:proofErr w:type="spellStart"/>
      <w:r>
        <w:t>СанПиН</w:t>
      </w:r>
      <w:proofErr w:type="spellEnd"/>
      <w:r>
        <w:t> 2.2.2/2.4.1340-03.</w:t>
      </w:r>
    </w:p>
    <w:p w:rsidR="00C85E58" w:rsidRDefault="00C85E58" w:rsidP="00C85E58">
      <w:pPr>
        <w:pStyle w:val="Caption"/>
        <w:spacing w:line="360" w:lineRule="auto"/>
      </w:pPr>
      <w:bookmarkStart w:id="11" w:name="_Ref75099726"/>
      <w:r>
        <w:t>Таб. 5.</w:t>
      </w:r>
      <w:bookmarkEnd w:id="11"/>
      <w:r>
        <w:t xml:space="preserve">6. Предельно допустимые уровни электрического и магнитного полей согласно </w:t>
      </w:r>
      <w:proofErr w:type="spellStart"/>
      <w:r>
        <w:t>СанПиН</w:t>
      </w:r>
      <w:proofErr w:type="spellEnd"/>
      <w:r>
        <w:t> 2.2.2/2.4.1340-03</w:t>
      </w:r>
    </w:p>
    <w:tbl>
      <w:tblPr>
        <w:tblW w:w="89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414"/>
        <w:gridCol w:w="2034"/>
        <w:gridCol w:w="2228"/>
        <w:gridCol w:w="2228"/>
      </w:tblGrid>
      <w:tr w:rsidR="00C85E58" w:rsidTr="00376B6D">
        <w:trPr>
          <w:trHeight w:val="361"/>
          <w:jc w:val="center"/>
        </w:trPr>
        <w:tc>
          <w:tcPr>
            <w:tcW w:w="1356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Вид поля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Диапазон частот</w:t>
            </w:r>
          </w:p>
        </w:tc>
        <w:tc>
          <w:tcPr>
            <w:tcW w:w="1251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Единица измерения</w:t>
            </w:r>
          </w:p>
        </w:tc>
        <w:tc>
          <w:tcPr>
            <w:tcW w:w="1251" w:type="pc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4F76B9">
              <w:rPr>
                <w:rStyle w:val="Strong"/>
                <w:b w:val="0"/>
                <w:bCs w:val="0"/>
              </w:rPr>
              <w:t>ПДУ</w:t>
            </w:r>
          </w:p>
        </w:tc>
      </w:tr>
      <w:tr w:rsidR="00C85E58" w:rsidTr="00376B6D">
        <w:trPr>
          <w:cantSplit/>
          <w:trHeight w:val="34"/>
          <w:jc w:val="center"/>
        </w:trPr>
        <w:tc>
          <w:tcPr>
            <w:tcW w:w="1356" w:type="pct"/>
            <w:vMerge w:val="restar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магнитное поле</w:t>
            </w:r>
          </w:p>
        </w:tc>
        <w:tc>
          <w:tcPr>
            <w:tcW w:w="1142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5 Гц- 2 кГц</w:t>
            </w:r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нТл</w:t>
            </w:r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  <w:tr w:rsidR="00C85E58" w:rsidTr="00376B6D">
        <w:trPr>
          <w:cantSplit/>
          <w:trHeight w:val="84"/>
          <w:jc w:val="center"/>
        </w:trPr>
        <w:tc>
          <w:tcPr>
            <w:tcW w:w="1356" w:type="pct"/>
            <w:vMerge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2 кГц - 400 кГц</w:t>
            </w:r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нТл</w:t>
            </w:r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85E58" w:rsidTr="00376B6D">
        <w:trPr>
          <w:cantSplit/>
          <w:trHeight w:val="21"/>
          <w:jc w:val="center"/>
        </w:trPr>
        <w:tc>
          <w:tcPr>
            <w:tcW w:w="1356" w:type="pct"/>
            <w:vMerge w:val="restar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электрическое поле</w:t>
            </w:r>
          </w:p>
        </w:tc>
        <w:tc>
          <w:tcPr>
            <w:tcW w:w="1142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5 Гц - 2 кГц</w:t>
            </w:r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В/</w:t>
            </w:r>
            <w:proofErr w:type="gramStart"/>
            <w:r w:rsidRPr="0074696A">
              <w:rPr>
                <w:rFonts w:ascii="Times New Roman" w:hAnsi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C85E58" w:rsidTr="00376B6D">
        <w:trPr>
          <w:cantSplit/>
          <w:trHeight w:val="71"/>
          <w:jc w:val="center"/>
        </w:trPr>
        <w:tc>
          <w:tcPr>
            <w:tcW w:w="1356" w:type="pct"/>
            <w:vMerge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2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2 кГц - 400 кГц</w:t>
            </w:r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В/</w:t>
            </w:r>
            <w:proofErr w:type="gramStart"/>
            <w:r w:rsidRPr="0074696A">
              <w:rPr>
                <w:rFonts w:ascii="Times New Roman" w:hAnsi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1251" w:type="pct"/>
            <w:vAlign w:val="center"/>
          </w:tcPr>
          <w:p w:rsidR="00C85E58" w:rsidRPr="0074696A" w:rsidRDefault="00C85E58" w:rsidP="00376B6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96A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</w:tr>
    </w:tbl>
    <w:p w:rsidR="00C85E58" w:rsidRDefault="00C85E58" w:rsidP="00C85E58">
      <w:pPr>
        <w:jc w:val="both"/>
      </w:pP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lastRenderedPageBreak/>
        <w:t xml:space="preserve">Проектом предусматривается использование только тех мониторов, которые удовлетворяют требованиям </w:t>
      </w:r>
      <w:proofErr w:type="spellStart"/>
      <w:r>
        <w:t>СанПиН</w:t>
      </w:r>
      <w:proofErr w:type="spellEnd"/>
      <w:r>
        <w:t xml:space="preserve"> 2.2.2/2.4.1340-03. </w:t>
      </w:r>
    </w:p>
    <w:p w:rsidR="00C85E58" w:rsidRP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 xml:space="preserve">При использовании мониторов, не соответствующих высоким требованиям </w:t>
      </w:r>
      <w:proofErr w:type="spellStart"/>
      <w:r>
        <w:t>СанПиН</w:t>
      </w:r>
      <w:proofErr w:type="spellEnd"/>
      <w:r>
        <w:t xml:space="preserve"> 2.2.2/2.4.1340-03, необходимо использовать специальные средства защиты от электромагнитного излучения – защитные экраны. </w:t>
      </w:r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При работе над проектом предусмотрено использование монитора </w:t>
      </w:r>
      <w:r w:rsidR="005C50F7">
        <w:rPr>
          <w:lang w:val="en-US"/>
        </w:rPr>
        <w:t>Dell</w:t>
      </w:r>
      <w:r>
        <w:t xml:space="preserve"> </w:t>
      </w:r>
      <w:r w:rsidR="005C50F7" w:rsidRPr="005C50F7">
        <w:t>2408</w:t>
      </w:r>
      <w:r w:rsidR="005C50F7">
        <w:rPr>
          <w:lang w:val="en-US"/>
        </w:rPr>
        <w:t>WPF</w:t>
      </w:r>
      <w:r>
        <w:t xml:space="preserve">, соответствующего требованиям стандарта </w:t>
      </w:r>
      <w:r>
        <w:rPr>
          <w:lang w:val="en-US"/>
        </w:rPr>
        <w:t>TCO</w:t>
      </w:r>
      <w:r w:rsidRPr="004D38FE">
        <w:t>’03</w:t>
      </w:r>
      <w:r>
        <w:t xml:space="preserve">, а значит удовлетворяющего стандартам </w:t>
      </w:r>
      <w:proofErr w:type="spellStart"/>
      <w:r>
        <w:t>СанПиНа</w:t>
      </w:r>
      <w:proofErr w:type="spellEnd"/>
      <w:r w:rsidRPr="004D38FE">
        <w:t>.</w:t>
      </w:r>
      <w:bookmarkStart w:id="12" w:name="_Toc42059592"/>
      <w:bookmarkStart w:id="13" w:name="_Toc44096408"/>
      <w:bookmarkStart w:id="14" w:name="_Toc75540029"/>
    </w:p>
    <w:p w:rsidR="00C85E58" w:rsidRPr="00131D23" w:rsidRDefault="00C85E58" w:rsidP="00C85E58">
      <w:pPr>
        <w:pStyle w:val="Li"/>
        <w:numPr>
          <w:ilvl w:val="0"/>
          <w:numId w:val="0"/>
        </w:numPr>
        <w:spacing w:before="100" w:beforeAutospacing="1" w:after="120"/>
        <w:rPr>
          <w:b/>
          <w:sz w:val="28"/>
          <w:szCs w:val="28"/>
        </w:rPr>
      </w:pPr>
      <w:r w:rsidRPr="00131D23">
        <w:rPr>
          <w:b/>
          <w:sz w:val="28"/>
          <w:szCs w:val="28"/>
        </w:rPr>
        <w:t>5.1.3.</w:t>
      </w:r>
      <w:r w:rsidRPr="00131D23">
        <w:rPr>
          <w:b/>
          <w:sz w:val="28"/>
          <w:szCs w:val="28"/>
        </w:rPr>
        <w:tab/>
        <w:t>Статическое электричество</w:t>
      </w:r>
      <w:bookmarkEnd w:id="12"/>
      <w:bookmarkEnd w:id="13"/>
      <w:bookmarkEnd w:id="14"/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При работе монитора на экране кинескопа накапливается электростатический заряд, создающий </w:t>
      </w:r>
      <w:r>
        <w:rPr>
          <w:bCs/>
        </w:rPr>
        <w:t>электростатическое поле</w:t>
      </w:r>
      <w:r>
        <w:t xml:space="preserve"> (</w:t>
      </w:r>
      <w:proofErr w:type="spellStart"/>
      <w:r>
        <w:t>ЭСтП</w:t>
      </w:r>
      <w:proofErr w:type="spellEnd"/>
      <w:r>
        <w:t xml:space="preserve">). Измерения значения </w:t>
      </w:r>
      <w:proofErr w:type="spellStart"/>
      <w:r>
        <w:t>ЭСтП</w:t>
      </w:r>
      <w:proofErr w:type="spellEnd"/>
      <w:r>
        <w:t xml:space="preserve"> колеблются от 8 до 75 кВ/м. Разброс электростатических потенциалов пользователей колеблется в диапазоне от -3 до +5 кВ. При воздействии </w:t>
      </w:r>
      <w:proofErr w:type="spellStart"/>
      <w:r>
        <w:t>ЭСтП</w:t>
      </w:r>
      <w:proofErr w:type="spellEnd"/>
      <w:r>
        <w:t xml:space="preserve"> </w:t>
      </w:r>
      <w:proofErr w:type="spellStart"/>
      <w:r>
        <w:t>возникнают</w:t>
      </w:r>
      <w:proofErr w:type="spellEnd"/>
      <w:r>
        <w:t xml:space="preserve"> неприятные субъективные ощущения.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>Помимо монитора вклад в общее электростатическое поле вносят электризующиеся от трения поверхности клавиатуры и мыши. Например, после работы с клавиатурой, электростатическое поле быстро возрастает с 2 до 12 кВ/м. На отдельных рабочих местах в области рук регистрировались напряженности статических электрических полей более 20 кВ/м.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>Среднестатистическое значение электростатического потенциала для современных мониторов составляет величину 200</w:t>
      </w:r>
      <w:proofErr w:type="gramStart"/>
      <w:r>
        <w:t xml:space="preserve"> В</w:t>
      </w:r>
      <w:proofErr w:type="gramEnd"/>
      <w:r>
        <w:t xml:space="preserve">, в то время как в соответствии с </w:t>
      </w:r>
      <w:proofErr w:type="spellStart"/>
      <w:r>
        <w:t>СанПиН</w:t>
      </w:r>
      <w:proofErr w:type="spellEnd"/>
      <w:r>
        <w:t> 2.2.2/2.4.1340-03 допустимым является значение 500 В. В использовавшемся при работе над проектом мониторе имеется специальное антистатическое покрытие панели, которое предотвращает накопление статических зарядов.</w:t>
      </w:r>
    </w:p>
    <w:p w:rsidR="00C85E58" w:rsidRDefault="00C85E58" w:rsidP="00C85E58">
      <w:pPr>
        <w:pStyle w:val="W20"/>
        <w:spacing w:before="100" w:after="120"/>
      </w:pPr>
      <w:bookmarkStart w:id="15" w:name="_Toc44096409"/>
      <w:bookmarkStart w:id="16" w:name="_Toc75540030"/>
      <w:r w:rsidRPr="0088172B">
        <w:t>5.1.4.</w:t>
      </w:r>
      <w:r>
        <w:t xml:space="preserve"> </w:t>
      </w:r>
      <w:proofErr w:type="spellStart"/>
      <w:r>
        <w:t>Электробезопасность</w:t>
      </w:r>
      <w:bookmarkEnd w:id="15"/>
      <w:bookmarkEnd w:id="16"/>
      <w:proofErr w:type="spellEnd"/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>Возможные поражения электрическим током являются наиболее опасными факторами при работе с электрооборудованием. Напряжение в сети составляет 220В, а частота переменного тока 50Гц, и согласно ПУЭ это помещение с повышенной опасностью. Для обеспечения безопасности используются следующие средства защиты:</w:t>
      </w:r>
    </w:p>
    <w:p w:rsidR="00C85E58" w:rsidRPr="004E22B0" w:rsidRDefault="00C85E58" w:rsidP="00C85E58">
      <w:pPr>
        <w:numPr>
          <w:ilvl w:val="0"/>
          <w:numId w:val="3"/>
        </w:numPr>
        <w:tabs>
          <w:tab w:val="clear" w:pos="1440"/>
          <w:tab w:val="num" w:pos="1152"/>
        </w:tabs>
        <w:spacing w:after="0" w:line="360" w:lineRule="auto"/>
        <w:ind w:left="1152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заземление выносного типа, заземлению подлежат корпуса компьютеров, мониторов и периферийных устройств, причем общее сопротивление всей системы заземления должно быть меньше 4 Ом;</w:t>
      </w:r>
    </w:p>
    <w:p w:rsidR="00C85E58" w:rsidRPr="004E22B0" w:rsidRDefault="00C85E58" w:rsidP="00C85E58">
      <w:pPr>
        <w:numPr>
          <w:ilvl w:val="0"/>
          <w:numId w:val="3"/>
        </w:numPr>
        <w:tabs>
          <w:tab w:val="clear" w:pos="1440"/>
          <w:tab w:val="num" w:pos="1152"/>
        </w:tabs>
        <w:spacing w:after="0" w:line="360" w:lineRule="auto"/>
        <w:ind w:left="1152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lastRenderedPageBreak/>
        <w:t>изоляция проводников, сопротивление которой, согласно ПУЭ должно составлять не менее 0,5 МОм;</w:t>
      </w:r>
    </w:p>
    <w:p w:rsidR="00C85E58" w:rsidRPr="0092428F" w:rsidRDefault="00C85E58" w:rsidP="00C85E58">
      <w:pPr>
        <w:numPr>
          <w:ilvl w:val="0"/>
          <w:numId w:val="3"/>
        </w:numPr>
        <w:tabs>
          <w:tab w:val="clear" w:pos="1440"/>
          <w:tab w:val="num" w:pos="1152"/>
        </w:tabs>
        <w:spacing w:after="120" w:line="360" w:lineRule="auto"/>
        <w:ind w:left="1151" w:hanging="357"/>
        <w:jc w:val="both"/>
        <w:rPr>
          <w:rFonts w:ascii="Times New Roman" w:hAnsi="Times New Roman"/>
          <w:sz w:val="24"/>
          <w:szCs w:val="24"/>
        </w:rPr>
      </w:pPr>
      <w:r w:rsidRPr="0092428F">
        <w:rPr>
          <w:rFonts w:ascii="Times New Roman" w:hAnsi="Times New Roman"/>
          <w:sz w:val="24"/>
          <w:szCs w:val="24"/>
        </w:rPr>
        <w:t>УЗО (устройство защитного отключения).</w:t>
      </w:r>
    </w:p>
    <w:p w:rsidR="00C85E58" w:rsidRPr="0092428F" w:rsidRDefault="00C85E58" w:rsidP="00C85E5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2428F">
        <w:rPr>
          <w:rFonts w:ascii="Times New Roman" w:hAnsi="Times New Roman"/>
          <w:sz w:val="24"/>
          <w:szCs w:val="24"/>
        </w:rPr>
        <w:t xml:space="preserve">Согласно ГОСТ 12.1.030-81, Защитное заземление следует выполнять преднамеренным электрическим соединением металлических частей электроустановок с "землей" или ее эквивалентом. Защитное заземление или </w:t>
      </w:r>
      <w:proofErr w:type="spellStart"/>
      <w:r w:rsidRPr="0092428F">
        <w:rPr>
          <w:rFonts w:ascii="Times New Roman" w:hAnsi="Times New Roman"/>
          <w:sz w:val="24"/>
          <w:szCs w:val="24"/>
        </w:rPr>
        <w:t>зануление</w:t>
      </w:r>
      <w:proofErr w:type="spellEnd"/>
      <w:r w:rsidRPr="0092428F">
        <w:rPr>
          <w:rFonts w:ascii="Times New Roman" w:hAnsi="Times New Roman"/>
          <w:sz w:val="24"/>
          <w:szCs w:val="24"/>
        </w:rPr>
        <w:t xml:space="preserve"> электроустановок следует выполнять: при номинальном напряжении 380</w:t>
      </w:r>
      <w:proofErr w:type="gramStart"/>
      <w:r w:rsidRPr="0092428F">
        <w:rPr>
          <w:rFonts w:ascii="Times New Roman" w:hAnsi="Times New Roman"/>
          <w:sz w:val="24"/>
          <w:szCs w:val="24"/>
        </w:rPr>
        <w:t xml:space="preserve"> В</w:t>
      </w:r>
      <w:proofErr w:type="gramEnd"/>
      <w:r w:rsidRPr="0092428F">
        <w:rPr>
          <w:rFonts w:ascii="Times New Roman" w:hAnsi="Times New Roman"/>
          <w:sz w:val="24"/>
          <w:szCs w:val="24"/>
        </w:rPr>
        <w:t xml:space="preserve"> и выше переменного тока и 440 В и выше постоянного тока - во всех случаях;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опасных.</w:t>
      </w:r>
    </w:p>
    <w:p w:rsidR="00C85E58" w:rsidRPr="004E22B0" w:rsidRDefault="00C85E58" w:rsidP="00C85E5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 xml:space="preserve">Электрическая сеть производственного помещения снабжена системой заземления. Т.к. в блоках питания и кабелях электропитания используемой компьютерной  техники присутствует заземляющий провод, это обеспечивает выполнение требований по заземлению электронной техники. </w:t>
      </w:r>
    </w:p>
    <w:p w:rsidR="00C85E58" w:rsidRPr="004E22B0" w:rsidRDefault="00C85E58" w:rsidP="00C85E5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Энергосеть здания оборудована цифровыми электросчётчиками, предусматривающими автоматическое отключение электропитания помещения при превышении допустимой нагрузки (а также в результате КЗ).</w:t>
      </w:r>
    </w:p>
    <w:p w:rsidR="00C85E58" w:rsidRDefault="00C85E58" w:rsidP="00C85E58">
      <w:pPr>
        <w:pStyle w:val="W20"/>
        <w:spacing w:before="100" w:after="120" w:line="360" w:lineRule="auto"/>
      </w:pPr>
      <w:bookmarkStart w:id="17" w:name="_Toc42059594"/>
      <w:bookmarkStart w:id="18" w:name="_Toc44096410"/>
      <w:bookmarkStart w:id="19" w:name="_Toc75540031"/>
      <w:r w:rsidRPr="0088172B">
        <w:t>5.1.</w:t>
      </w:r>
      <w:r>
        <w:t>5</w:t>
      </w:r>
      <w:r w:rsidRPr="0088172B">
        <w:t>.</w:t>
      </w:r>
      <w:r>
        <w:t xml:space="preserve"> Опасность возникновения пожара</w:t>
      </w:r>
      <w:bookmarkEnd w:id="17"/>
      <w:bookmarkEnd w:id="18"/>
      <w:bookmarkEnd w:id="19"/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 xml:space="preserve">Согласно существующей классификации </w:t>
      </w:r>
      <w:r>
        <w:rPr>
          <w:snapToGrid w:val="0"/>
        </w:rPr>
        <w:t>НПБ-105-03</w:t>
      </w:r>
      <w:r>
        <w:t xml:space="preserve"> производственное помещение, в котором предполагается использовать систему, по пожарной опасности относится  к  категории «Д». Пожарная безопасность может быть обеспечена мерами  пожарной профилактики и активной пожарной защитой. Под активной пожарной защитой  понимаются  меры, обеспечивающие  успешную  борьбу  с  возникающими пожарами. На случай пожара необходимо предусмотреть  безопасную  эвакуацию  людей.</w:t>
      </w:r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>Для тушения пожаров в производственном помещении  необходимо  применять углекислотные и порошковые огнетушители, которые обладают высокой эффективностью борьбы с огнем и возможностью тушения электроустановок.</w:t>
      </w:r>
    </w:p>
    <w:p w:rsidR="00C85E58" w:rsidRPr="00C90295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 xml:space="preserve">Исходя из норм пожарной безопасности, в здании с ПЭВМ расположены внутренние средства пожаротушения, такие как пожарные краны, средства первичного пожаротушения. Также в помещении установлена пожарная сигнализация, которая позволяет оповестить дежурный персонал о пожаре. В качестве пожарных сигнальных датчиков в машинном зале устанавливаются  </w:t>
      </w:r>
      <w:proofErr w:type="gramStart"/>
      <w:r>
        <w:t>дымовые</w:t>
      </w:r>
      <w:proofErr w:type="gramEnd"/>
      <w:r>
        <w:t xml:space="preserve">  фотоэлектрические  </w:t>
      </w:r>
      <w:proofErr w:type="spellStart"/>
      <w:r>
        <w:t>извещатели</w:t>
      </w:r>
      <w:proofErr w:type="spellEnd"/>
      <w:r>
        <w:rPr>
          <w:szCs w:val="16"/>
        </w:rPr>
        <w:t>.</w:t>
      </w:r>
    </w:p>
    <w:p w:rsidR="00C85E58" w:rsidRDefault="00C85E58" w:rsidP="00C85E58">
      <w:pPr>
        <w:pStyle w:val="W20"/>
        <w:spacing w:before="100" w:after="120" w:line="360" w:lineRule="auto"/>
      </w:pPr>
      <w:bookmarkStart w:id="20" w:name="_Toc42059595"/>
      <w:bookmarkStart w:id="21" w:name="_Toc44096411"/>
      <w:bookmarkStart w:id="22" w:name="_Toc75540032"/>
      <w:r w:rsidRPr="0088172B">
        <w:lastRenderedPageBreak/>
        <w:t>5.1.6.</w:t>
      </w:r>
      <w:r>
        <w:t xml:space="preserve"> Шум</w:t>
      </w:r>
      <w:bookmarkEnd w:id="20"/>
      <w:bookmarkEnd w:id="21"/>
      <w:bookmarkEnd w:id="22"/>
    </w:p>
    <w:p w:rsidR="00C85E58" w:rsidRDefault="00C85E58" w:rsidP="00C85E58">
      <w:pPr>
        <w:pStyle w:val="Li"/>
        <w:numPr>
          <w:ilvl w:val="0"/>
          <w:numId w:val="0"/>
        </w:numPr>
        <w:ind w:firstLine="709"/>
        <w:jc w:val="both"/>
      </w:pPr>
      <w:r>
        <w:t xml:space="preserve">Шум создает значительные нагрузки на нервную систему человека, оказывает на него психологическое воздействие и снижает производительность труда. Источниками шума в помещении являются  механические устройства и внутренние вентиляторы ЭВМ, а также шум от </w:t>
      </w:r>
      <w:proofErr w:type="spellStart"/>
      <w:r>
        <w:t>общеобменной</w:t>
      </w:r>
      <w:proofErr w:type="spellEnd"/>
      <w:r>
        <w:t xml:space="preserve"> вентиляционной установки.</w:t>
      </w:r>
    </w:p>
    <w:p w:rsidR="00C85E58" w:rsidRPr="00EE1570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 xml:space="preserve">Продолжительное действие сильного шума вызывает общее утомление, может привести к ухудшению слуха, а иногда и к глухоте, нарушается процесс пищеварения,  происходит  изменение  объема внутренних  органов.  Значения допустимых уровней шума согласно </w:t>
      </w:r>
      <w:proofErr w:type="spellStart"/>
      <w:r>
        <w:t>СанПиН</w:t>
      </w:r>
      <w:proofErr w:type="spellEnd"/>
      <w:r>
        <w:t> 2.2.2/2.4.1340-03 приведены в</w:t>
      </w:r>
      <w:proofErr w:type="gramStart"/>
      <w:r>
        <w:t xml:space="preserve"> </w:t>
      </w:r>
      <w:r>
        <w:fldChar w:fldCharType="begin"/>
      </w:r>
      <w:r>
        <w:instrText xml:space="preserve"> REF _Ref75099786 \h </w:instrText>
      </w:r>
      <w:r>
        <w:instrText xml:space="preserve"> \* MERGEFORMAT </w:instrText>
      </w:r>
      <w:r>
        <w:fldChar w:fldCharType="separate"/>
      </w:r>
      <w:r>
        <w:t>Т</w:t>
      </w:r>
      <w:proofErr w:type="gramEnd"/>
      <w:r>
        <w:t>аб. 5.</w:t>
      </w:r>
      <w:r>
        <w:fldChar w:fldCharType="end"/>
      </w:r>
      <w:r>
        <w:t>7.</w:t>
      </w:r>
    </w:p>
    <w:p w:rsidR="00C85E58" w:rsidRDefault="00C85E58" w:rsidP="00C85E58">
      <w:pPr>
        <w:pStyle w:val="Caption"/>
        <w:spacing w:before="120"/>
      </w:pPr>
      <w:bookmarkStart w:id="23" w:name="_Ref75099786"/>
      <w:r>
        <w:t>Таб. 5.</w:t>
      </w:r>
      <w:bookmarkEnd w:id="23"/>
      <w:r>
        <w:t xml:space="preserve">7. Значения допустимых уровней шума согласно </w:t>
      </w:r>
      <w:proofErr w:type="spellStart"/>
      <w:r>
        <w:t>СанПиН</w:t>
      </w:r>
      <w:proofErr w:type="spellEnd"/>
      <w:r>
        <w:t> 2.2.2/2.4.1340-03</w:t>
      </w:r>
    </w:p>
    <w:tbl>
      <w:tblPr>
        <w:tblW w:w="8064" w:type="dxa"/>
        <w:jc w:val="center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4" w:type="dxa"/>
            <w:gridSpan w:val="8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spacing w:after="100" w:afterAutospacing="1"/>
            </w:pPr>
            <w:r w:rsidRPr="004F76B9">
              <w:t xml:space="preserve">Уровни звукового давления в дБ в октавных полосах </w:t>
            </w:r>
          </w:p>
          <w:p w:rsidR="00C85E58" w:rsidRDefault="00C85E58" w:rsidP="00376B6D">
            <w:pPr>
              <w:pStyle w:val="BodyText"/>
              <w:numPr>
                <w:ilvl w:val="0"/>
                <w:numId w:val="0"/>
              </w:numPr>
              <w:spacing w:after="100" w:afterAutospacing="1"/>
              <w:rPr>
                <w:rFonts w:ascii="Arial" w:hAnsi="Arial" w:cs="Arial"/>
                <w:bCs/>
              </w:rPr>
            </w:pPr>
            <w:r w:rsidRPr="004F76B9">
              <w:t xml:space="preserve">со среднегеометрическими частотами, </w:t>
            </w:r>
            <w:proofErr w:type="gramStart"/>
            <w:r w:rsidRPr="004F76B9">
              <w:t>Гц</w:t>
            </w:r>
            <w:proofErr w:type="gramEnd"/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63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125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250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500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1000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2000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4000 Гц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8000 Гц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71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61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54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49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45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42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40 дБ</w:t>
            </w:r>
          </w:p>
        </w:tc>
        <w:tc>
          <w:tcPr>
            <w:tcW w:w="1008" w:type="dxa"/>
          </w:tcPr>
          <w:p w:rsidR="00C85E58" w:rsidRPr="00D22F2D" w:rsidRDefault="00C85E58" w:rsidP="00376B6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D22F2D">
              <w:rPr>
                <w:rFonts w:ascii="Times New Roman" w:hAnsi="Times New Roman"/>
              </w:rPr>
              <w:t>38 дБ</w:t>
            </w:r>
          </w:p>
        </w:tc>
      </w:tr>
    </w:tbl>
    <w:p w:rsidR="00C85E58" w:rsidRDefault="00C85E58" w:rsidP="00C85E58">
      <w:pPr>
        <w:pStyle w:val="BodyText"/>
        <w:numPr>
          <w:ilvl w:val="0"/>
          <w:numId w:val="0"/>
        </w:numPr>
      </w:pPr>
    </w:p>
    <w:p w:rsidR="00C85E58" w:rsidRPr="00EE1570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 w:rsidRPr="00EE1570">
        <w:t xml:space="preserve">Измерение уровня звука и уровней звукового давления проводится на расстоянии </w:t>
      </w:r>
      <w:smartTag w:uri="urn:schemas-microsoft-com:office:smarttags" w:element="metricconverter">
        <w:smartTagPr>
          <w:attr w:name="ProductID" w:val="50 см"/>
        </w:smartTagPr>
        <w:r w:rsidRPr="00EE1570">
          <w:t>50 см</w:t>
        </w:r>
      </w:smartTag>
      <w:r w:rsidRPr="00EE1570">
        <w:t xml:space="preserve"> от поверхности оборудования и на высоте расположения источник</w:t>
      </w:r>
      <w:proofErr w:type="gramStart"/>
      <w:r w:rsidRPr="00EE1570">
        <w:t>а(</w:t>
      </w:r>
      <w:proofErr w:type="gramEnd"/>
      <w:r w:rsidRPr="00EE1570">
        <w:t>ков) звука.</w:t>
      </w:r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>В данном случае (разработка программного обеспечения) источниками наибольшего шума могут являться матричные принтеры, однако, они применяются сейчас очень редко (в основном, в виде специализированных устройств), а также внешние источники шума - шум с улицы, из соседних помещений. Т.о. постоянные источники шума, превышающего нормы, отсутствуют.</w:t>
      </w:r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 xml:space="preserve">При постоянной работе на ПЭВМ уровень шума на рабочем месте не должен превышать 50дБА. В случае наличия шумов, превышающих нормы, принимаются меры по их устранению. Такими мерами, как правило, являются применение стеклопакетов для звукоизоляции от внешнего шума, а также изменение шумовых характеристик самой ЭВМ путём замены системы охлаждения на </w:t>
      </w:r>
      <w:proofErr w:type="spellStart"/>
      <w:r>
        <w:t>безвентиляторную</w:t>
      </w:r>
      <w:proofErr w:type="spellEnd"/>
      <w:r>
        <w:t>, либо применением низкооборотных вентиляторов.</w:t>
      </w:r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>Также используются звукопоглощающие материалы с максимальными коэффициентами звукопоглощения в области частот 63 - 8000 Гц для отделки помещений, подтвержденных специальными акустическими расчетами.</w:t>
      </w:r>
    </w:p>
    <w:p w:rsidR="00C85E58" w:rsidRDefault="00C85E58" w:rsidP="00C85E58">
      <w:pPr>
        <w:pStyle w:val="W20"/>
        <w:spacing w:before="100" w:after="120" w:line="360" w:lineRule="auto"/>
      </w:pPr>
      <w:bookmarkStart w:id="24" w:name="_Toc44096412"/>
      <w:bookmarkStart w:id="25" w:name="_Toc75540033"/>
      <w:r w:rsidRPr="0088172B">
        <w:lastRenderedPageBreak/>
        <w:t>5.1.7.</w:t>
      </w:r>
      <w:r>
        <w:t xml:space="preserve"> Вибрация</w:t>
      </w:r>
      <w:bookmarkEnd w:id="24"/>
      <w:bookmarkEnd w:id="25"/>
    </w:p>
    <w:p w:rsidR="00C85E58" w:rsidRDefault="00C85E58" w:rsidP="00C85E58">
      <w:pPr>
        <w:pStyle w:val="Li"/>
        <w:numPr>
          <w:ilvl w:val="0"/>
          <w:numId w:val="0"/>
        </w:numPr>
        <w:spacing w:after="100" w:afterAutospacing="1"/>
        <w:ind w:firstLine="708"/>
        <w:jc w:val="both"/>
      </w:pPr>
      <w:r>
        <w:t xml:space="preserve">Уровень вибрации на рабочем месте не должен превышать допустимых норм вибрации. </w:t>
      </w:r>
    </w:p>
    <w:p w:rsidR="00C85E58" w:rsidRDefault="00C85E58" w:rsidP="00C85E58">
      <w:pPr>
        <w:pStyle w:val="Caption"/>
        <w:spacing w:before="0"/>
      </w:pPr>
      <w:r>
        <w:t xml:space="preserve">Таб. 5.8. </w:t>
      </w:r>
      <w:r w:rsidRPr="00526FC7">
        <w:t>Допустимые нормы вибрации на рабочих местах с ВДТ и ПЭВМ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1418"/>
        <w:gridCol w:w="1276"/>
        <w:gridCol w:w="1275"/>
        <w:gridCol w:w="1276"/>
      </w:tblGrid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vMerge w:val="restart"/>
            <w:shd w:val="clear" w:color="auto" w:fill="auto"/>
            <w:vAlign w:val="center"/>
          </w:tcPr>
          <w:p w:rsidR="00C85E58" w:rsidRPr="00C426B3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C426B3">
              <w:rPr>
                <w:bCs/>
              </w:rPr>
              <w:t>Среднегеометрические частоты</w:t>
            </w:r>
          </w:p>
          <w:p w:rsidR="00C85E58" w:rsidRPr="00C426B3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C426B3">
              <w:rPr>
                <w:bCs/>
              </w:rPr>
              <w:t xml:space="preserve">Октавных полос, </w:t>
            </w:r>
            <w:proofErr w:type="gramStart"/>
            <w:r w:rsidRPr="00C426B3">
              <w:rPr>
                <w:bCs/>
              </w:rPr>
              <w:t>Гц</w:t>
            </w:r>
            <w:proofErr w:type="gramEnd"/>
          </w:p>
        </w:tc>
        <w:tc>
          <w:tcPr>
            <w:tcW w:w="5245" w:type="dxa"/>
            <w:gridSpan w:val="4"/>
            <w:shd w:val="clear" w:color="auto" w:fill="auto"/>
            <w:vAlign w:val="center"/>
          </w:tcPr>
          <w:p w:rsidR="00C85E58" w:rsidRPr="00C426B3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C426B3">
              <w:rPr>
                <w:bCs/>
              </w:rPr>
              <w:t xml:space="preserve">Допустимые значения по осям </w:t>
            </w:r>
            <w:r w:rsidRPr="00C426B3">
              <w:rPr>
                <w:bCs/>
                <w:lang w:val="en-US"/>
              </w:rPr>
              <w:t>X</w:t>
            </w:r>
            <w:r w:rsidRPr="00C426B3">
              <w:rPr>
                <w:bCs/>
              </w:rPr>
              <w:t xml:space="preserve"> и </w:t>
            </w:r>
            <w:r w:rsidRPr="00C426B3">
              <w:rPr>
                <w:bCs/>
                <w:lang w:val="en-US"/>
              </w:rPr>
              <w:t>Y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vMerge/>
            <w:shd w:val="clear" w:color="auto" w:fill="auto"/>
            <w:vAlign w:val="center"/>
          </w:tcPr>
          <w:p w:rsidR="00C85E58" w:rsidRPr="00C426B3" w:rsidRDefault="00C85E58" w:rsidP="00C85E58">
            <w:pPr>
              <w:pStyle w:val="BodyText"/>
              <w:keepNext/>
              <w:numPr>
                <w:ilvl w:val="0"/>
                <w:numId w:val="1"/>
              </w:numPr>
              <w:spacing w:before="40" w:after="40"/>
              <w:ind w:left="0" w:firstLine="0"/>
              <w:rPr>
                <w:bCs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C85E58" w:rsidRPr="00C426B3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C426B3">
              <w:rPr>
                <w:bCs/>
              </w:rPr>
              <w:t xml:space="preserve">по </w:t>
            </w:r>
            <w:proofErr w:type="spellStart"/>
            <w:r w:rsidRPr="00C426B3">
              <w:rPr>
                <w:bCs/>
              </w:rPr>
              <w:t>виброускорению</w:t>
            </w:r>
            <w:proofErr w:type="spellEnd"/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C85E58" w:rsidRPr="00C426B3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C426B3">
              <w:rPr>
                <w:bCs/>
              </w:rPr>
              <w:t xml:space="preserve">по </w:t>
            </w:r>
            <w:proofErr w:type="spellStart"/>
            <w:r w:rsidRPr="00C426B3">
              <w:rPr>
                <w:bCs/>
              </w:rPr>
              <w:t>виброскорости</w:t>
            </w:r>
            <w:proofErr w:type="spellEnd"/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vMerge/>
            <w:shd w:val="clear" w:color="auto" w:fill="auto"/>
            <w:vAlign w:val="center"/>
          </w:tcPr>
          <w:p w:rsidR="00C85E58" w:rsidRPr="00BD7FA1" w:rsidRDefault="00C85E58" w:rsidP="00C85E58">
            <w:pPr>
              <w:pStyle w:val="BodyText"/>
              <w:keepNext/>
              <w:numPr>
                <w:ilvl w:val="0"/>
                <w:numId w:val="1"/>
              </w:numPr>
              <w:spacing w:before="40" w:after="40"/>
              <w:ind w:left="0" w:firstLine="0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85E58" w:rsidRPr="000B62C6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  <w:vertAlign w:val="superscript"/>
              </w:rPr>
            </w:pPr>
            <w:r w:rsidRPr="000B62C6">
              <w:rPr>
                <w:bCs/>
              </w:rPr>
              <w:t>м/с</w:t>
            </w:r>
            <w:proofErr w:type="gramStart"/>
            <w:r w:rsidRPr="000B62C6">
              <w:rPr>
                <w:bCs/>
                <w:vertAlign w:val="superscript"/>
              </w:rPr>
              <w:t>2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C85E58" w:rsidRPr="000B62C6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0B62C6">
              <w:rPr>
                <w:bCs/>
              </w:rPr>
              <w:t>дБ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Pr="000B62C6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proofErr w:type="gramStart"/>
            <w:r w:rsidRPr="000B62C6">
              <w:rPr>
                <w:bCs/>
              </w:rPr>
              <w:t>м</w:t>
            </w:r>
            <w:proofErr w:type="gramEnd"/>
            <w:r w:rsidRPr="000B62C6">
              <w:rPr>
                <w:bCs/>
              </w:rPr>
              <w:t>/с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Pr="000B62C6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0B62C6">
              <w:rPr>
                <w:bCs/>
              </w:rPr>
              <w:t>дБ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53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45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79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53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73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53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67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16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31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67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31,5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37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67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43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67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 w:rsidR="00C85E58" w:rsidRPr="00C426B3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bCs/>
              </w:rPr>
            </w:pPr>
            <w:r w:rsidRPr="00C426B3">
              <w:rPr>
                <w:bCs/>
              </w:rPr>
              <w:t>Корректированные значения</w:t>
            </w:r>
          </w:p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  <w:rPr>
                <w:rFonts w:ascii="Arial" w:hAnsi="Arial" w:cs="Arial"/>
                <w:b/>
                <w:bCs/>
              </w:rPr>
            </w:pPr>
            <w:r w:rsidRPr="00C426B3">
              <w:rPr>
                <w:bCs/>
              </w:rPr>
              <w:t>и их уровни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93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30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5E58" w:rsidRDefault="00C85E58" w:rsidP="00376B6D">
            <w:pPr>
              <w:pStyle w:val="BodyText"/>
              <w:keepNext/>
              <w:numPr>
                <w:ilvl w:val="0"/>
                <w:numId w:val="0"/>
              </w:numPr>
              <w:spacing w:before="40" w:after="40"/>
            </w:pPr>
            <w:r>
              <w:t>72</w:t>
            </w:r>
          </w:p>
        </w:tc>
      </w:tr>
    </w:tbl>
    <w:p w:rsidR="00C85E58" w:rsidRDefault="00C85E58" w:rsidP="00C85E58">
      <w:pPr>
        <w:pStyle w:val="BodyTextIndent"/>
      </w:pPr>
    </w:p>
    <w:p w:rsidR="00C85E58" w:rsidRPr="004E22B0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  <w:rPr>
          <w:szCs w:val="24"/>
        </w:rPr>
      </w:pPr>
      <w:r w:rsidRPr="004E22B0">
        <w:rPr>
          <w:szCs w:val="24"/>
        </w:rPr>
        <w:t>При превышении указанных норм следует принять меры по уменьшению вибрации. Такими мерами могут быть:</w:t>
      </w:r>
    </w:p>
    <w:p w:rsidR="00C85E58" w:rsidRPr="004E22B0" w:rsidRDefault="00C85E58" w:rsidP="00C85E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применение демпфирующих материалов в качестве прокладок на пути распространения вибрации, например, между полом и рабочим столом, ножки системного блока компьютера и т.д.;</w:t>
      </w:r>
    </w:p>
    <w:p w:rsidR="00C85E58" w:rsidRPr="004E22B0" w:rsidRDefault="00C85E58" w:rsidP="00C85E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уход от резонансных режимов (в том случае, если частота возмущающего воздействия и частота собственных колебаний системы сопоставимы);</w:t>
      </w:r>
    </w:p>
    <w:p w:rsidR="00C85E58" w:rsidRPr="00ED6CF7" w:rsidRDefault="00C85E58" w:rsidP="00C85E58">
      <w:pPr>
        <w:pStyle w:val="W20"/>
        <w:spacing w:before="100" w:line="360" w:lineRule="auto"/>
      </w:pPr>
      <w:bookmarkStart w:id="26" w:name="_Toc42059596"/>
      <w:bookmarkStart w:id="27" w:name="_Toc44096413"/>
      <w:bookmarkStart w:id="28" w:name="_Toc75540034"/>
      <w:r w:rsidRPr="009759B9">
        <w:t>5.1.8.</w:t>
      </w:r>
      <w:r>
        <w:t xml:space="preserve"> Травматизм</w:t>
      </w:r>
      <w:bookmarkEnd w:id="26"/>
      <w:bookmarkEnd w:id="27"/>
      <w:bookmarkEnd w:id="28"/>
    </w:p>
    <w:p w:rsidR="00C85E58" w:rsidRDefault="00C85E58" w:rsidP="00C85E58">
      <w:pPr>
        <w:pStyle w:val="Li"/>
        <w:numPr>
          <w:ilvl w:val="0"/>
          <w:numId w:val="0"/>
        </w:numPr>
        <w:spacing w:after="100" w:afterAutospacing="1"/>
        <w:ind w:firstLine="708"/>
        <w:jc w:val="both"/>
      </w:pPr>
      <w:r>
        <w:t xml:space="preserve">В качестве основного устройства ввода для ПЭВМ используется клавиатура. Длительная работа на клавиатуре может вызвать значительное утомление пальцев и кистей рук оператора. В соответствии с требованиями </w:t>
      </w:r>
      <w:proofErr w:type="spellStart"/>
      <w:r>
        <w:t>СанПиН</w:t>
      </w:r>
      <w:proofErr w:type="spellEnd"/>
      <w:r>
        <w:t> 2.2.2/2.4.1340-03 клавиатура должна удовлетворять следующим требованиям: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исполнение в виде отдельного устройства с возможностью свободного перемещения;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lastRenderedPageBreak/>
        <w:t>опорное приспособление, позволяющее изменять угол наклона поверхности клавиатуры в пределах 5-15 градусов;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 xml:space="preserve">высота среднего ряда клавиш не более </w:t>
      </w:r>
      <w:smartTag w:uri="urn:schemas-microsoft-com:office:smarttags" w:element="metricconverter">
        <w:smartTagPr>
          <w:attr w:name="ProductID" w:val="30 мм"/>
        </w:smartTagPr>
        <w:r w:rsidRPr="004E22B0">
          <w:rPr>
            <w:rFonts w:ascii="Times New Roman" w:hAnsi="Times New Roman"/>
            <w:sz w:val="24"/>
            <w:szCs w:val="24"/>
          </w:rPr>
          <w:t>30 мм</w:t>
        </w:r>
      </w:smartTag>
      <w:r w:rsidRPr="004E22B0">
        <w:rPr>
          <w:rFonts w:ascii="Times New Roman" w:hAnsi="Times New Roman"/>
          <w:sz w:val="24"/>
          <w:szCs w:val="24"/>
        </w:rPr>
        <w:t>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расположение часто используемых клавиш в центре, внизу и справа, редко используемых - вверху и слева;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выделение цветом, размером, формой и местом расположения функциональных групп клавиш;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 xml:space="preserve">минимальный размер клавиш </w:t>
      </w:r>
      <w:smartTag w:uri="urn:schemas-microsoft-com:office:smarttags" w:element="metricconverter">
        <w:smartTagPr>
          <w:attr w:name="ProductID" w:val="13 мм"/>
        </w:smartTagPr>
        <w:r w:rsidRPr="004E22B0">
          <w:rPr>
            <w:rFonts w:ascii="Times New Roman" w:hAnsi="Times New Roman"/>
            <w:sz w:val="24"/>
            <w:szCs w:val="24"/>
          </w:rPr>
          <w:t>13 мм</w:t>
        </w:r>
      </w:smartTag>
      <w:r w:rsidRPr="004E22B0">
        <w:rPr>
          <w:rFonts w:ascii="Times New Roman" w:hAnsi="Times New Roman"/>
          <w:sz w:val="24"/>
          <w:szCs w:val="24"/>
        </w:rPr>
        <w:t xml:space="preserve">, оптимальный - </w:t>
      </w:r>
      <w:smartTag w:uri="urn:schemas-microsoft-com:office:smarttags" w:element="metricconverter">
        <w:smartTagPr>
          <w:attr w:name="ProductID" w:val="15 мм"/>
        </w:smartTagPr>
        <w:r w:rsidRPr="004E22B0">
          <w:rPr>
            <w:rFonts w:ascii="Times New Roman" w:hAnsi="Times New Roman"/>
            <w:sz w:val="24"/>
            <w:szCs w:val="24"/>
          </w:rPr>
          <w:t>15 мм</w:t>
        </w:r>
      </w:smartTag>
      <w:r w:rsidRPr="004E22B0">
        <w:rPr>
          <w:rFonts w:ascii="Times New Roman" w:hAnsi="Times New Roman"/>
          <w:sz w:val="24"/>
          <w:szCs w:val="24"/>
        </w:rPr>
        <w:t>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 xml:space="preserve">клавиши с углублением в центре и шагом 19 плюс - минус </w:t>
      </w:r>
      <w:smartTag w:uri="urn:schemas-microsoft-com:office:smarttags" w:element="metricconverter">
        <w:smartTagPr>
          <w:attr w:name="ProductID" w:val="1 мм"/>
        </w:smartTagPr>
        <w:r w:rsidRPr="004E22B0">
          <w:rPr>
            <w:rFonts w:ascii="Times New Roman" w:hAnsi="Times New Roman"/>
            <w:sz w:val="24"/>
            <w:szCs w:val="24"/>
          </w:rPr>
          <w:t>1 мм</w:t>
        </w:r>
      </w:smartTag>
      <w:r w:rsidRPr="004E22B0">
        <w:rPr>
          <w:rFonts w:ascii="Times New Roman" w:hAnsi="Times New Roman"/>
          <w:sz w:val="24"/>
          <w:szCs w:val="24"/>
        </w:rPr>
        <w:t>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 xml:space="preserve">расстояние между клавишами не менее </w:t>
      </w:r>
      <w:smartTag w:uri="urn:schemas-microsoft-com:office:smarttags" w:element="metricconverter">
        <w:smartTagPr>
          <w:attr w:name="ProductID" w:val="3 мм"/>
        </w:smartTagPr>
        <w:r w:rsidRPr="004E22B0">
          <w:rPr>
            <w:rFonts w:ascii="Times New Roman" w:hAnsi="Times New Roman"/>
            <w:sz w:val="24"/>
            <w:szCs w:val="24"/>
          </w:rPr>
          <w:t>3 мм</w:t>
        </w:r>
      </w:smartTag>
      <w:r w:rsidRPr="004E22B0">
        <w:rPr>
          <w:rFonts w:ascii="Times New Roman" w:hAnsi="Times New Roman"/>
          <w:sz w:val="24"/>
          <w:szCs w:val="24"/>
        </w:rPr>
        <w:t>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одинаковый ход для всех клавиш с минимальным сопротивлением нажатию 0,25Н и максимальным - не более 1,5Н;</w:t>
      </w:r>
    </w:p>
    <w:p w:rsidR="00C85E58" w:rsidRPr="004E22B0" w:rsidRDefault="00C85E58" w:rsidP="00C85E5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E22B0">
        <w:rPr>
          <w:rFonts w:ascii="Times New Roman" w:hAnsi="Times New Roman"/>
          <w:sz w:val="24"/>
          <w:szCs w:val="24"/>
        </w:rPr>
        <w:t>звуковую обратную связь от включения клавиш с регулировкой уровня звукового сигнала и возможности ее отключения.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 xml:space="preserve">При создании данного проекта использовалась клавиатура </w:t>
      </w:r>
      <w:r w:rsidRPr="00B07917">
        <w:rPr>
          <w:color w:val="000000"/>
        </w:rPr>
        <w:t>BTC 8193</w:t>
      </w:r>
      <w:r>
        <w:t xml:space="preserve">, удовлетворяющая требованиям </w:t>
      </w:r>
      <w:proofErr w:type="spellStart"/>
      <w:r>
        <w:t>СанПиН</w:t>
      </w:r>
      <w:proofErr w:type="spellEnd"/>
      <w:r>
        <w:t xml:space="preserve"> 2.2.2/2.4.1340-03.</w:t>
      </w:r>
    </w:p>
    <w:p w:rsidR="00C85E58" w:rsidRDefault="00C85E58" w:rsidP="00C85E58">
      <w:pPr>
        <w:pStyle w:val="W20"/>
        <w:spacing w:before="100" w:line="360" w:lineRule="auto"/>
      </w:pPr>
      <w:bookmarkStart w:id="29" w:name="_Toc42059597"/>
      <w:bookmarkStart w:id="30" w:name="_Toc44096414"/>
      <w:bookmarkStart w:id="31" w:name="_Toc75540035"/>
      <w:r w:rsidRPr="0088172B">
        <w:t>5.1.9.</w:t>
      </w:r>
      <w:r>
        <w:t xml:space="preserve"> Микроклимат</w:t>
      </w:r>
      <w:bookmarkEnd w:id="29"/>
      <w:bookmarkEnd w:id="30"/>
      <w:bookmarkEnd w:id="31"/>
    </w:p>
    <w:p w:rsidR="00C85E58" w:rsidRPr="00503F53" w:rsidRDefault="00C85E58" w:rsidP="00C85E58">
      <w:pPr>
        <w:pStyle w:val="Li"/>
        <w:numPr>
          <w:ilvl w:val="0"/>
          <w:numId w:val="0"/>
        </w:numPr>
        <w:ind w:firstLine="720"/>
        <w:jc w:val="both"/>
      </w:pPr>
      <w:r>
        <w:t>В помещениях, оборудованных ПЭВМ, проводится ежедневная влажная уборка и систематическое проветривание после каждого часа работы на ПЭВМ.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>В соответствии с установленными выше данными, можно определить оптимальные нормы микроклимата для рабочего помещения программиста (разработчика) и рабочего места пользователя программы.</w:t>
      </w:r>
    </w:p>
    <w:p w:rsidR="00C85E58" w:rsidRDefault="00C85E58" w:rsidP="00C85E58">
      <w:pPr>
        <w:pStyle w:val="Li"/>
        <w:numPr>
          <w:ilvl w:val="0"/>
          <w:numId w:val="0"/>
        </w:numPr>
        <w:spacing w:after="100" w:afterAutospacing="1"/>
        <w:ind w:firstLine="709"/>
        <w:jc w:val="both"/>
      </w:pPr>
      <w:r>
        <w:t>Результирующие данные по о</w:t>
      </w:r>
      <w:r w:rsidRPr="00634469">
        <w:t>птимальн</w:t>
      </w:r>
      <w:r>
        <w:t>ым</w:t>
      </w:r>
      <w:r w:rsidRPr="00634469">
        <w:t xml:space="preserve"> норм</w:t>
      </w:r>
      <w:r>
        <w:t>ам</w:t>
      </w:r>
      <w:r w:rsidRPr="00634469">
        <w:t xml:space="preserve"> микроклимата для разработчика и пользователя программного продукта</w:t>
      </w:r>
      <w:r>
        <w:t xml:space="preserve"> приводятся в</w:t>
      </w:r>
      <w:proofErr w:type="gramStart"/>
      <w:r>
        <w:t xml:space="preserve"> </w:t>
      </w:r>
      <w:r>
        <w:fldChar w:fldCharType="begin"/>
      </w:r>
      <w:r>
        <w:instrText xml:space="preserve"> REF _Ref75099871 \h </w:instrText>
      </w:r>
      <w:r>
        <w:instrText xml:space="preserve"> \* MERGEFORMAT </w:instrText>
      </w:r>
      <w:r>
        <w:fldChar w:fldCharType="separate"/>
      </w:r>
      <w:r>
        <w:t>Т</w:t>
      </w:r>
      <w:proofErr w:type="gramEnd"/>
      <w:r>
        <w:t xml:space="preserve">аб. </w:t>
      </w:r>
      <w:r>
        <w:rPr>
          <w:noProof/>
        </w:rPr>
        <w:t>5.9.</w:t>
      </w:r>
      <w:r>
        <w:t xml:space="preserve"> </w:t>
      </w:r>
      <w:r w:rsidRPr="00634469">
        <w:t>Оптимальные нормы микроклимата для разработчика и пользователя программного продукта.</w:t>
      </w:r>
      <w:r>
        <w:fldChar w:fldCharType="end"/>
      </w:r>
    </w:p>
    <w:p w:rsidR="00C85E58" w:rsidRDefault="00C85E58" w:rsidP="00C85E58">
      <w:pPr>
        <w:pStyle w:val="Caption"/>
        <w:spacing w:before="0"/>
      </w:pPr>
      <w:bookmarkStart w:id="32" w:name="_Ref75099871"/>
      <w:r>
        <w:t xml:space="preserve">Таб. 5.9. </w:t>
      </w:r>
      <w:r w:rsidRPr="00634469">
        <w:t>Оптимальные нормы микроклимата для разработчика и пользователя программного продукта.</w:t>
      </w:r>
      <w:bookmarkEnd w:id="3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842"/>
        <w:gridCol w:w="1843"/>
        <w:gridCol w:w="2268"/>
        <w:gridCol w:w="1701"/>
      </w:tblGrid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437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Период года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t>Работник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t>Оптимальные параметры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898"/>
        </w:trPr>
        <w:tc>
          <w:tcPr>
            <w:tcW w:w="1560" w:type="dxa"/>
            <w:vMerge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t xml:space="preserve">Температура воздуха, </w:t>
            </w: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sym w:font="Symbol" w:char="F0B0"/>
            </w:r>
            <w:r w:rsidRPr="00480BD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85E58" w:rsidRPr="00480BD5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t>Скорость движения воздуха, м/</w:t>
            </w:r>
            <w:proofErr w:type="gramStart"/>
            <w:r w:rsidRPr="00480BD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proofErr w:type="gramEnd"/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Холодный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22-24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560" w:type="dxa"/>
            <w:vMerge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21-23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Теплый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23-25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560" w:type="dxa"/>
            <w:vMerge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22-24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</w:tr>
    </w:tbl>
    <w:p w:rsidR="00C85E58" w:rsidRPr="00F015FB" w:rsidRDefault="00C85E58" w:rsidP="00C85E58">
      <w:pPr>
        <w:rPr>
          <w:lang w:val="en-US"/>
        </w:rPr>
      </w:pP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>Если параметры микроклимата не соответствуют установленным нормам, то необходимо применять системы кондиционирования или вентиляции для приведения их в норму. При этом, поскольку работа за компьютером требует высокого сосредоточения и концентрации, более предпочтительными являются приточно-вытяжные системы кондиционирования, автоматически поддерживающие требуемый режим.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 xml:space="preserve">Еще одним вредным фактором при работе с ЭВМ является запыленность помещения. В любом рабочем помещении есть частицы пыли. Однако персональные компьютеры за счет электризации и накопления статического заряда еще и притягивают поток этих частиц. Избежать запыленности позволяет применение </w:t>
      </w:r>
      <w:proofErr w:type="spellStart"/>
      <w:r>
        <w:t>общеобменной</w:t>
      </w:r>
      <w:proofErr w:type="spellEnd"/>
      <w:r>
        <w:t xml:space="preserve"> системы вентиляции.</w:t>
      </w:r>
    </w:p>
    <w:p w:rsidR="00C85E58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</w:pPr>
      <w:r>
        <w:t>Уровни положительных и отрицательных ионов в воздухе должны соответствовать нормам, приведенным в</w:t>
      </w:r>
      <w:proofErr w:type="gramStart"/>
      <w:r>
        <w:t xml:space="preserve"> </w:t>
      </w:r>
      <w:r>
        <w:fldChar w:fldCharType="begin"/>
      </w:r>
      <w:r>
        <w:instrText xml:space="preserve"> REF _Ref75099941 \h </w:instrText>
      </w:r>
      <w:r>
        <w:instrText xml:space="preserve"> \* MERGEFORMAT </w:instrText>
      </w:r>
      <w:r>
        <w:fldChar w:fldCharType="separate"/>
      </w:r>
      <w:r>
        <w:t>Т</w:t>
      </w:r>
      <w:proofErr w:type="gramEnd"/>
      <w:r>
        <w:t xml:space="preserve">аб. </w:t>
      </w:r>
      <w:r>
        <w:rPr>
          <w:noProof/>
        </w:rPr>
        <w:t>5.10.</w:t>
      </w:r>
      <w:r>
        <w:t xml:space="preserve"> </w:t>
      </w:r>
      <w:r w:rsidRPr="007B53D9">
        <w:t>Уровни ионизации воздуха помещений при работе на ВДТ и ПЭВМ</w:t>
      </w:r>
      <w:r>
        <w:t>.</w:t>
      </w:r>
      <w:r>
        <w:fldChar w:fldCharType="end"/>
      </w:r>
    </w:p>
    <w:p w:rsidR="00C85E58" w:rsidRDefault="00C85E58" w:rsidP="00C85E58">
      <w:pPr>
        <w:pStyle w:val="Caption"/>
        <w:spacing w:before="0"/>
      </w:pPr>
      <w:bookmarkStart w:id="33" w:name="_Ref75099941"/>
      <w:r>
        <w:t xml:space="preserve">Таб. 5.10. </w:t>
      </w:r>
      <w:r w:rsidRPr="007B53D9">
        <w:t>Уровни ионизации воздуха помещений при работе на ВДТ и ПЭВМ</w:t>
      </w:r>
      <w:r>
        <w:t>.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3190" w:type="dxa"/>
            <w:vMerge w:val="restart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>Уровни</w:t>
            </w:r>
          </w:p>
        </w:tc>
        <w:tc>
          <w:tcPr>
            <w:tcW w:w="6381" w:type="dxa"/>
            <w:gridSpan w:val="2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t xml:space="preserve">Число ионов в </w:t>
            </w:r>
            <w:smartTag w:uri="urn:schemas-microsoft-com:office:smarttags" w:element="metricconverter">
              <w:smartTagPr>
                <w:attr w:name="ProductID" w:val="1 см"/>
              </w:smartTagPr>
              <w:r w:rsidRPr="004F76B9">
                <w:t>1 см</w:t>
              </w:r>
            </w:smartTag>
            <w:r w:rsidRPr="004F76B9">
              <w:t xml:space="preserve">  куб. воздуха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3190" w:type="dxa"/>
            <w:vMerge/>
            <w:shd w:val="clear" w:color="auto" w:fill="auto"/>
            <w:vAlign w:val="center"/>
          </w:tcPr>
          <w:p w:rsidR="00C85E58" w:rsidRPr="004F76B9" w:rsidRDefault="00C85E58" w:rsidP="00C85E58">
            <w:pPr>
              <w:pStyle w:val="BodyTex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3190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rPr>
                <w:lang w:val="en-US"/>
              </w:rPr>
              <w:t>n</w:t>
            </w:r>
            <w:r w:rsidRPr="004F76B9">
              <w:t>+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85E58" w:rsidRPr="004F76B9" w:rsidRDefault="00C85E58" w:rsidP="00376B6D">
            <w:pPr>
              <w:pStyle w:val="BodyText"/>
              <w:numPr>
                <w:ilvl w:val="0"/>
                <w:numId w:val="0"/>
              </w:numPr>
              <w:jc w:val="both"/>
            </w:pPr>
            <w:r w:rsidRPr="004F76B9">
              <w:rPr>
                <w:lang w:val="en-US"/>
              </w:rPr>
              <w:t>n</w:t>
            </w:r>
            <w:r w:rsidRPr="004F76B9">
              <w:t>-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Минимально необходимые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Оптимальные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1500-3000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3000-5000</w:t>
            </w:r>
          </w:p>
        </w:tc>
      </w:tr>
      <w:tr w:rsidR="00C85E58" w:rsidTr="00376B6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Предельно допустимые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85E58" w:rsidRDefault="00C85E58" w:rsidP="00376B6D">
            <w:pPr>
              <w:pStyle w:val="HTML1"/>
              <w:keepNext/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</w:tr>
    </w:tbl>
    <w:p w:rsidR="00C85E58" w:rsidRDefault="00C85E58" w:rsidP="00C85E58">
      <w:pPr>
        <w:pStyle w:val="Li"/>
        <w:numPr>
          <w:ilvl w:val="0"/>
          <w:numId w:val="0"/>
        </w:numPr>
        <w:spacing w:before="120"/>
        <w:ind w:firstLine="709"/>
        <w:jc w:val="both"/>
      </w:pPr>
      <w:r>
        <w:t>Содержание вредных химических веществ в помещениях с ПЭВМ не должно превышать “ПДК загрязняющих веществ в атмосферном воздухе населенных мест” (</w:t>
      </w:r>
      <w:proofErr w:type="spellStart"/>
      <w:r>
        <w:t>СанПиН</w:t>
      </w:r>
      <w:proofErr w:type="spellEnd"/>
      <w:r>
        <w:t xml:space="preserve"> 2.1.6.575-96).</w:t>
      </w:r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</w:p>
    <w:p w:rsidR="00C85E58" w:rsidRDefault="00C85E58" w:rsidP="00C85E58">
      <w:pPr>
        <w:pStyle w:val="Li"/>
        <w:numPr>
          <w:ilvl w:val="0"/>
          <w:numId w:val="0"/>
        </w:num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5.1.10. </w:t>
      </w:r>
      <w:r w:rsidRPr="00322BFC">
        <w:rPr>
          <w:b/>
          <w:sz w:val="28"/>
          <w:szCs w:val="28"/>
        </w:rPr>
        <w:t>Питьевая вода</w:t>
      </w:r>
    </w:p>
    <w:p w:rsidR="00C85E58" w:rsidRPr="004E22B0" w:rsidRDefault="00C85E58" w:rsidP="00C85E58">
      <w:pPr>
        <w:pStyle w:val="Li"/>
        <w:numPr>
          <w:ilvl w:val="0"/>
          <w:numId w:val="0"/>
        </w:numPr>
        <w:spacing w:after="120"/>
        <w:ind w:firstLine="709"/>
        <w:jc w:val="both"/>
        <w:rPr>
          <w:szCs w:val="24"/>
        </w:rPr>
      </w:pPr>
      <w:r w:rsidRPr="004E22B0">
        <w:rPr>
          <w:szCs w:val="24"/>
        </w:rPr>
        <w:lastRenderedPageBreak/>
        <w:t>Производственное помещение подключено к</w:t>
      </w:r>
      <w:r w:rsidRPr="004E22B0">
        <w:rPr>
          <w:b/>
          <w:szCs w:val="24"/>
        </w:rPr>
        <w:t xml:space="preserve"> </w:t>
      </w:r>
      <w:r w:rsidRPr="004E22B0">
        <w:rPr>
          <w:szCs w:val="24"/>
        </w:rPr>
        <w:t>централизованной системе питьевого водоснабжения.</w:t>
      </w:r>
      <w:r w:rsidRPr="004E22B0">
        <w:rPr>
          <w:b/>
          <w:szCs w:val="24"/>
        </w:rPr>
        <w:t xml:space="preserve"> </w:t>
      </w:r>
      <w:r w:rsidRPr="004E22B0">
        <w:rPr>
          <w:szCs w:val="24"/>
        </w:rPr>
        <w:t>В соответствии с</w:t>
      </w:r>
      <w:r w:rsidRPr="004E22B0">
        <w:rPr>
          <w:b/>
          <w:szCs w:val="24"/>
        </w:rPr>
        <w:t xml:space="preserve"> </w:t>
      </w:r>
      <w:proofErr w:type="spellStart"/>
      <w:r w:rsidRPr="004E22B0">
        <w:rPr>
          <w:szCs w:val="24"/>
        </w:rPr>
        <w:t>СанПиН</w:t>
      </w:r>
      <w:proofErr w:type="spellEnd"/>
      <w:r w:rsidRPr="004E22B0">
        <w:rPr>
          <w:szCs w:val="24"/>
        </w:rPr>
        <w:t xml:space="preserve"> 2.1.4.1074-01 «Питьевая вода. Гигиенические требования к качеству воды централизованных систем питьевого водоснабжения. Контроль качества», очистка, фильтрация и иная подготовка воды производится непосредственно перед подачей её в систему центрального водоснабжения с тем, чтобы в результате доставки к производственному помещению она не потеряла своих качеств. </w:t>
      </w:r>
    </w:p>
    <w:p w:rsidR="00C85E58" w:rsidRPr="004E22B0" w:rsidRDefault="00C85E58" w:rsidP="00C85E58">
      <w:pPr>
        <w:pStyle w:val="Li"/>
        <w:numPr>
          <w:ilvl w:val="0"/>
          <w:numId w:val="0"/>
        </w:numPr>
        <w:ind w:firstLine="708"/>
        <w:jc w:val="both"/>
        <w:rPr>
          <w:b/>
          <w:szCs w:val="24"/>
        </w:rPr>
      </w:pPr>
      <w:r w:rsidRPr="004E22B0">
        <w:rPr>
          <w:szCs w:val="24"/>
        </w:rPr>
        <w:t xml:space="preserve">Для дополнительной очистки воды возможно использование фильтров. Например, питьевая вода, очищенная фильтром </w:t>
      </w:r>
      <w:proofErr w:type="spellStart"/>
      <w:r w:rsidRPr="004E22B0">
        <w:rPr>
          <w:szCs w:val="24"/>
        </w:rPr>
        <w:t>Аквафор</w:t>
      </w:r>
      <w:proofErr w:type="spellEnd"/>
      <w:r w:rsidRPr="004E22B0">
        <w:rPr>
          <w:szCs w:val="24"/>
        </w:rPr>
        <w:t xml:space="preserve"> «Кувшин» соответствует </w:t>
      </w:r>
      <w:proofErr w:type="spellStart"/>
      <w:r w:rsidRPr="004E22B0">
        <w:rPr>
          <w:szCs w:val="24"/>
        </w:rPr>
        <w:t>СанПиН</w:t>
      </w:r>
      <w:proofErr w:type="spellEnd"/>
      <w:r w:rsidRPr="004E22B0">
        <w:rPr>
          <w:szCs w:val="24"/>
        </w:rPr>
        <w:t xml:space="preserve"> 2.1.4.1074-01, что гарантирует пригодность её</w:t>
      </w:r>
      <w:r w:rsidRPr="00DF772D">
        <w:rPr>
          <w:szCs w:val="24"/>
        </w:rPr>
        <w:t xml:space="preserve"> </w:t>
      </w:r>
      <w:r>
        <w:rPr>
          <w:szCs w:val="24"/>
        </w:rPr>
        <w:t>к</w:t>
      </w:r>
      <w:r w:rsidRPr="004E22B0">
        <w:rPr>
          <w:szCs w:val="24"/>
        </w:rPr>
        <w:t xml:space="preserve"> употреблени</w:t>
      </w:r>
      <w:r>
        <w:rPr>
          <w:szCs w:val="24"/>
        </w:rPr>
        <w:t>ю</w:t>
      </w:r>
      <w:r w:rsidRPr="004E22B0">
        <w:rPr>
          <w:szCs w:val="24"/>
        </w:rPr>
        <w:t>.</w:t>
      </w:r>
    </w:p>
    <w:p w:rsidR="00C85E58" w:rsidRDefault="00C85E58" w:rsidP="00C85E58">
      <w:pPr>
        <w:pStyle w:val="Li"/>
        <w:numPr>
          <w:ilvl w:val="0"/>
          <w:numId w:val="0"/>
        </w:numPr>
        <w:ind w:firstLine="900"/>
        <w:jc w:val="both"/>
      </w:pPr>
    </w:p>
    <w:p w:rsidR="00C85E58" w:rsidRPr="00D86721" w:rsidRDefault="00C85E58" w:rsidP="00C85E58">
      <w:pPr>
        <w:pStyle w:val="Heading2"/>
        <w:spacing w:after="100" w:afterAutospacing="1"/>
        <w:rPr>
          <w:rFonts w:ascii="Times New Roman" w:hAnsi="Times New Roman" w:cs="Times New Roman"/>
          <w:i w:val="0"/>
          <w:sz w:val="32"/>
          <w:szCs w:val="32"/>
        </w:rPr>
      </w:pPr>
      <w:bookmarkStart w:id="34" w:name="_Toc138720523"/>
      <w:r w:rsidRPr="00D86721">
        <w:rPr>
          <w:rFonts w:ascii="Times New Roman" w:hAnsi="Times New Roman" w:cs="Times New Roman"/>
          <w:i w:val="0"/>
          <w:sz w:val="32"/>
          <w:szCs w:val="32"/>
        </w:rPr>
        <w:t xml:space="preserve">5.2. Расчет </w:t>
      </w:r>
      <w:r>
        <w:rPr>
          <w:rFonts w:ascii="Times New Roman" w:hAnsi="Times New Roman" w:cs="Times New Roman"/>
          <w:i w:val="0"/>
          <w:sz w:val="32"/>
          <w:szCs w:val="32"/>
        </w:rPr>
        <w:t>о</w:t>
      </w:r>
      <w:r w:rsidRPr="00D86721">
        <w:rPr>
          <w:rFonts w:ascii="Times New Roman" w:hAnsi="Times New Roman" w:cs="Times New Roman"/>
          <w:i w:val="0"/>
          <w:sz w:val="32"/>
          <w:szCs w:val="32"/>
        </w:rPr>
        <w:t>свещения</w:t>
      </w:r>
      <w:bookmarkEnd w:id="34"/>
    </w:p>
    <w:p w:rsidR="00C85E58" w:rsidRPr="003F294E" w:rsidRDefault="00C85E58" w:rsidP="00C85E58">
      <w:pPr>
        <w:spacing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3F294E">
        <w:rPr>
          <w:rFonts w:ascii="Times New Roman" w:hAnsi="Times New Roman"/>
          <w:sz w:val="24"/>
          <w:szCs w:val="24"/>
        </w:rPr>
        <w:t>В системе освещения рабочего помещения предусмотрено использование как естественного света, поступающего через оконные проёмы, так и искусственного, создаваемого лампами общего освещения и локальными светильниками на рабочих местах.</w:t>
      </w:r>
    </w:p>
    <w:p w:rsidR="00C85E58" w:rsidRPr="003F294E" w:rsidRDefault="00C85E58" w:rsidP="00C85E58">
      <w:pPr>
        <w:pStyle w:val="Heading3"/>
        <w:rPr>
          <w:sz w:val="28"/>
          <w:szCs w:val="28"/>
        </w:rPr>
      </w:pPr>
      <w:bookmarkStart w:id="35" w:name="_Toc138720524"/>
      <w:r w:rsidRPr="003F294E">
        <w:rPr>
          <w:sz w:val="28"/>
          <w:szCs w:val="28"/>
        </w:rPr>
        <w:t xml:space="preserve">5.2.1. Расчет площади </w:t>
      </w:r>
      <w:proofErr w:type="spellStart"/>
      <w:r w:rsidRPr="003F294E">
        <w:rPr>
          <w:sz w:val="28"/>
          <w:szCs w:val="28"/>
        </w:rPr>
        <w:t>светопроемов</w:t>
      </w:r>
      <w:bookmarkEnd w:id="35"/>
      <w:proofErr w:type="spellEnd"/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Вычисляем нормированное значение КЕО. Для заданного </w:t>
      </w:r>
      <w:r w:rsidRPr="004873C7">
        <w:rPr>
          <w:sz w:val="24"/>
          <w:szCs w:val="24"/>
          <w:lang w:val="en-US"/>
        </w:rPr>
        <w:t>II</w:t>
      </w:r>
      <w:r w:rsidRPr="004873C7">
        <w:rPr>
          <w:sz w:val="24"/>
          <w:szCs w:val="24"/>
        </w:rPr>
        <w:t xml:space="preserve"> разряда работ принимаем </w:t>
      </w:r>
      <w:r w:rsidRPr="004873C7">
        <w:rPr>
          <w:position w:val="-10"/>
          <w:sz w:val="24"/>
          <w:szCs w:val="24"/>
        </w:rPr>
        <w:object w:dxaOrig="10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16.85pt" o:ole="">
            <v:imagedata r:id="rId5" o:title=""/>
          </v:shape>
          <o:OLEObject Type="Embed" ProgID="Equation.3" ShapeID="_x0000_i1025" DrawAspect="Content" ObjectID="_1304460417" r:id="rId6"/>
        </w:object>
      </w:r>
      <w:r w:rsidRPr="004873C7">
        <w:rPr>
          <w:sz w:val="24"/>
          <w:szCs w:val="24"/>
        </w:rPr>
        <w:t xml:space="preserve">, а для центрального региона </w:t>
      </w:r>
      <w:r w:rsidRPr="004873C7">
        <w:rPr>
          <w:position w:val="-12"/>
          <w:sz w:val="24"/>
          <w:szCs w:val="24"/>
        </w:rPr>
        <w:object w:dxaOrig="920" w:dyaOrig="360">
          <v:shape id="_x0000_i1026" type="#_x0000_t75" style="width:45.8pt;height:17.75pt" o:ole="">
            <v:imagedata r:id="rId7" o:title=""/>
          </v:shape>
          <o:OLEObject Type="Embed" ProgID="Equation.3" ShapeID="_x0000_i1026" DrawAspect="Content" ObjectID="_1304460418" r:id="rId8"/>
        </w:object>
      </w:r>
      <w:r w:rsidRPr="004873C7">
        <w:rPr>
          <w:sz w:val="24"/>
          <w:szCs w:val="24"/>
        </w:rPr>
        <w:t xml:space="preserve">. Таким образом, </w:t>
      </w:r>
      <w:r w:rsidRPr="004873C7">
        <w:rPr>
          <w:position w:val="-12"/>
          <w:sz w:val="24"/>
          <w:szCs w:val="24"/>
          <w:lang w:val="en-US"/>
        </w:rPr>
        <w:object w:dxaOrig="2900" w:dyaOrig="360">
          <v:shape id="_x0000_i1027" type="#_x0000_t75" style="width:144.95pt;height:17.75pt" o:ole="">
            <v:imagedata r:id="rId9" o:title=""/>
          </v:shape>
          <o:OLEObject Type="Embed" ProgID="Equation.3" ShapeID="_x0000_i1027" DrawAspect="Content" ObjectID="_1304460419" r:id="rId10"/>
        </w:object>
      </w:r>
      <w:r w:rsidRPr="004873C7">
        <w:rPr>
          <w:sz w:val="24"/>
          <w:szCs w:val="24"/>
        </w:rPr>
        <w:t xml:space="preserve"> 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Определяем суммарную площадь </w:t>
      </w:r>
      <w:proofErr w:type="spellStart"/>
      <w:r w:rsidRPr="004873C7">
        <w:rPr>
          <w:sz w:val="24"/>
          <w:szCs w:val="24"/>
        </w:rPr>
        <w:t>светопроемов</w:t>
      </w:r>
      <w:proofErr w:type="spellEnd"/>
      <w:r w:rsidRPr="004873C7">
        <w:rPr>
          <w:sz w:val="24"/>
          <w:szCs w:val="24"/>
        </w:rPr>
        <w:t xml:space="preserve"> для заданной нормированной освещенности при боковом одностороннем освещении по формуле:</w:t>
      </w:r>
    </w:p>
    <w:p w:rsidR="00C85E58" w:rsidRPr="007E5DBE" w:rsidRDefault="00C85E58" w:rsidP="00C85E58">
      <w:pPr>
        <w:pStyle w:val="Normal11pt"/>
        <w:ind w:left="1440" w:firstLine="720"/>
      </w:pPr>
      <w:r w:rsidRPr="007E5DBE">
        <w:rPr>
          <w:position w:val="-30"/>
        </w:rPr>
        <w:object w:dxaOrig="2560" w:dyaOrig="720">
          <v:shape id="_x0000_i1028" type="#_x0000_t75" style="width:128.1pt;height:36.45pt" o:ole="">
            <v:imagedata r:id="rId11" o:title=""/>
          </v:shape>
          <o:OLEObject Type="Embed" ProgID="Equation.3" ShapeID="_x0000_i1028" DrawAspect="Content" ObjectID="_1304460420" r:id="rId12"/>
        </w:object>
      </w:r>
      <w:r w:rsidRPr="007E5DBE">
        <w:t xml:space="preserve">, </w:t>
      </w:r>
      <w:r w:rsidRPr="007E5DBE">
        <w:tab/>
      </w:r>
      <w:r w:rsidRPr="007E5DBE">
        <w:tab/>
      </w:r>
      <w:r w:rsidRPr="007E5DBE">
        <w:tab/>
      </w:r>
      <w:r w:rsidRPr="007E5DBE">
        <w:tab/>
        <w:t xml:space="preserve">           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где </w:t>
      </w:r>
      <w:r w:rsidRPr="004873C7">
        <w:rPr>
          <w:sz w:val="24"/>
          <w:szCs w:val="24"/>
          <w:lang w:val="en-US"/>
        </w:rPr>
        <w:t>S</w:t>
      </w:r>
      <w:r w:rsidRPr="004873C7">
        <w:rPr>
          <w:sz w:val="24"/>
          <w:szCs w:val="24"/>
          <w:vertAlign w:val="subscript"/>
        </w:rPr>
        <w:t xml:space="preserve">П </w:t>
      </w:r>
      <w:r w:rsidRPr="004873C7">
        <w:rPr>
          <w:sz w:val="24"/>
          <w:szCs w:val="24"/>
        </w:rPr>
        <w:t>– площадь пола помещения, м</w:t>
      </w:r>
      <w:proofErr w:type="gramStart"/>
      <w:r w:rsidRPr="004873C7">
        <w:rPr>
          <w:sz w:val="24"/>
          <w:szCs w:val="24"/>
          <w:vertAlign w:val="superscript"/>
        </w:rPr>
        <w:t>2</w:t>
      </w:r>
      <w:proofErr w:type="gramEnd"/>
      <w:r w:rsidRPr="004873C7">
        <w:rPr>
          <w:sz w:val="24"/>
          <w:szCs w:val="24"/>
        </w:rPr>
        <w:t>;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position w:val="-10"/>
          <w:sz w:val="24"/>
          <w:szCs w:val="24"/>
        </w:rPr>
        <w:object w:dxaOrig="3100" w:dyaOrig="360">
          <v:shape id="_x0000_i1029" type="#_x0000_t75" style="width:155.2pt;height:17.75pt" o:ole="">
            <v:imagedata r:id="rId13" o:title=""/>
          </v:shape>
          <o:OLEObject Type="Embed" ProgID="Equation.3" ShapeID="_x0000_i1029" DrawAspect="Content" ObjectID="_1304460421" r:id="rId14"/>
        </w:object>
      </w:r>
      <w:r w:rsidRPr="004873C7">
        <w:rPr>
          <w:sz w:val="24"/>
          <w:szCs w:val="24"/>
        </w:rPr>
        <w:t xml:space="preserve">; 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proofErr w:type="spellStart"/>
      <w:proofErr w:type="gramStart"/>
      <w:r w:rsidRPr="004873C7">
        <w:rPr>
          <w:sz w:val="24"/>
          <w:szCs w:val="24"/>
          <w:lang w:val="en-US"/>
        </w:rPr>
        <w:t>e</w:t>
      </w:r>
      <w:r w:rsidRPr="004873C7">
        <w:rPr>
          <w:sz w:val="24"/>
          <w:szCs w:val="24"/>
          <w:vertAlign w:val="subscript"/>
          <w:lang w:val="en-US"/>
        </w:rPr>
        <w:t>N</w:t>
      </w:r>
      <w:proofErr w:type="spellEnd"/>
      <w:proofErr w:type="gramEnd"/>
      <w:r w:rsidRPr="004873C7">
        <w:rPr>
          <w:sz w:val="24"/>
          <w:szCs w:val="24"/>
        </w:rPr>
        <w:t xml:space="preserve"> – нормированное значение КЕО,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 η</w:t>
      </w:r>
      <w:r w:rsidRPr="004873C7">
        <w:rPr>
          <w:sz w:val="24"/>
          <w:szCs w:val="24"/>
          <w:vertAlign w:val="subscript"/>
        </w:rPr>
        <w:t xml:space="preserve">0 </w:t>
      </w:r>
      <w:r w:rsidRPr="004873C7">
        <w:rPr>
          <w:sz w:val="24"/>
          <w:szCs w:val="24"/>
        </w:rPr>
        <w:t xml:space="preserve">– световая характеристика окна, определяется по таблицам </w:t>
      </w:r>
      <w:proofErr w:type="spellStart"/>
      <w:r w:rsidRPr="004873C7">
        <w:rPr>
          <w:sz w:val="24"/>
          <w:szCs w:val="24"/>
        </w:rPr>
        <w:t>СНиП</w:t>
      </w:r>
      <w:proofErr w:type="spellEnd"/>
      <w:r w:rsidRPr="004873C7">
        <w:rPr>
          <w:sz w:val="24"/>
          <w:szCs w:val="24"/>
        </w:rPr>
        <w:t xml:space="preserve"> на основании 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 отношений </w:t>
      </w:r>
      <w:r w:rsidRPr="004873C7">
        <w:rPr>
          <w:sz w:val="24"/>
          <w:szCs w:val="24"/>
          <w:lang w:val="en-US"/>
        </w:rPr>
        <w:t>L</w:t>
      </w:r>
      <w:r w:rsidRPr="004873C7">
        <w:rPr>
          <w:sz w:val="24"/>
          <w:szCs w:val="24"/>
          <w:vertAlign w:val="subscript"/>
        </w:rPr>
        <w:t>П</w:t>
      </w:r>
      <w:r w:rsidRPr="004873C7">
        <w:rPr>
          <w:sz w:val="24"/>
          <w:szCs w:val="24"/>
        </w:rPr>
        <w:t>/В и</w:t>
      </w:r>
      <w:proofErr w:type="gramStart"/>
      <w:r w:rsidRPr="004873C7">
        <w:rPr>
          <w:sz w:val="24"/>
          <w:szCs w:val="24"/>
        </w:rPr>
        <w:t xml:space="preserve"> В</w:t>
      </w:r>
      <w:proofErr w:type="gramEnd"/>
      <w:r w:rsidRPr="004873C7">
        <w:rPr>
          <w:sz w:val="24"/>
          <w:szCs w:val="24"/>
        </w:rPr>
        <w:t>/</w:t>
      </w:r>
      <w:r w:rsidRPr="004873C7">
        <w:rPr>
          <w:sz w:val="24"/>
          <w:szCs w:val="24"/>
          <w:lang w:val="en-US"/>
        </w:rPr>
        <w:t>h</w:t>
      </w:r>
      <w:r w:rsidRPr="004873C7">
        <w:rPr>
          <w:sz w:val="24"/>
          <w:szCs w:val="24"/>
          <w:vertAlign w:val="subscript"/>
        </w:rPr>
        <w:t>1</w:t>
      </w:r>
      <w:r w:rsidRPr="004873C7">
        <w:rPr>
          <w:sz w:val="24"/>
          <w:szCs w:val="24"/>
        </w:rPr>
        <w:t>:</w:t>
      </w:r>
    </w:p>
    <w:p w:rsidR="00C85E58" w:rsidRPr="004873C7" w:rsidRDefault="00C85E58" w:rsidP="00C85E58">
      <w:pPr>
        <w:pStyle w:val="Normal11pt"/>
        <w:ind w:left="1440" w:firstLine="720"/>
        <w:rPr>
          <w:sz w:val="24"/>
          <w:szCs w:val="24"/>
        </w:rPr>
      </w:pPr>
      <w:r w:rsidRPr="004873C7">
        <w:rPr>
          <w:position w:val="-24"/>
          <w:sz w:val="24"/>
          <w:szCs w:val="24"/>
        </w:rPr>
        <w:object w:dxaOrig="1740" w:dyaOrig="639">
          <v:shape id="_x0000_i1030" type="#_x0000_t75" style="width:86.95pt;height:31.8pt" o:ole="">
            <v:imagedata r:id="rId15" o:title=""/>
          </v:shape>
          <o:OLEObject Type="Embed" ProgID="Equation.3" ShapeID="_x0000_i1030" DrawAspect="Content" ObjectID="_1304460422" r:id="rId16"/>
        </w:object>
      </w:r>
      <w:r w:rsidRPr="004873C7">
        <w:rPr>
          <w:sz w:val="24"/>
          <w:szCs w:val="24"/>
        </w:rPr>
        <w:t xml:space="preserve">  </w:t>
      </w:r>
      <w:r w:rsidRPr="004873C7">
        <w:rPr>
          <w:position w:val="-30"/>
          <w:sz w:val="24"/>
          <w:szCs w:val="24"/>
        </w:rPr>
        <w:object w:dxaOrig="1460" w:dyaOrig="680">
          <v:shape id="_x0000_i1031" type="#_x0000_t75" style="width:72.95pt;height:33.65pt" o:ole="">
            <v:imagedata r:id="rId17" o:title=""/>
          </v:shape>
          <o:OLEObject Type="Embed" ProgID="Equation.3" ShapeID="_x0000_i1031" DrawAspect="Content" ObjectID="_1304460423" r:id="rId18"/>
        </w:object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  <w:t xml:space="preserve">           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η</w:t>
      </w:r>
      <w:r w:rsidRPr="004873C7">
        <w:rPr>
          <w:sz w:val="24"/>
          <w:szCs w:val="24"/>
          <w:vertAlign w:val="subscript"/>
        </w:rPr>
        <w:t>0</w:t>
      </w:r>
      <w:r w:rsidRPr="004873C7">
        <w:rPr>
          <w:sz w:val="24"/>
          <w:szCs w:val="24"/>
        </w:rPr>
        <w:t xml:space="preserve">=10; </w:t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lastRenderedPageBreak/>
        <w:t>К</w:t>
      </w:r>
      <w:r w:rsidRPr="004873C7">
        <w:rPr>
          <w:sz w:val="24"/>
          <w:szCs w:val="24"/>
          <w:vertAlign w:val="subscript"/>
        </w:rPr>
        <w:t>3</w:t>
      </w:r>
      <w:r w:rsidRPr="004873C7">
        <w:rPr>
          <w:sz w:val="24"/>
          <w:szCs w:val="24"/>
        </w:rPr>
        <w:t xml:space="preserve"> – коэффициент запаса, учитывающий загрязнение </w:t>
      </w:r>
      <w:proofErr w:type="spellStart"/>
      <w:r w:rsidRPr="004873C7">
        <w:rPr>
          <w:sz w:val="24"/>
          <w:szCs w:val="24"/>
        </w:rPr>
        <w:t>светопропускающего</w:t>
      </w:r>
      <w:proofErr w:type="spellEnd"/>
      <w:r w:rsidRPr="004873C7">
        <w:rPr>
          <w:sz w:val="24"/>
          <w:szCs w:val="24"/>
        </w:rPr>
        <w:t xml:space="preserve"> материала светового проема, зависит от типа помещения и от расположения стекол. При вертикальном расположении К</w:t>
      </w:r>
      <w:r w:rsidRPr="004873C7">
        <w:rPr>
          <w:sz w:val="24"/>
          <w:szCs w:val="24"/>
          <w:vertAlign w:val="subscript"/>
        </w:rPr>
        <w:t>3</w:t>
      </w:r>
      <w:r w:rsidRPr="004873C7">
        <w:rPr>
          <w:sz w:val="24"/>
          <w:szCs w:val="24"/>
        </w:rPr>
        <w:t>=1,2;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К</w:t>
      </w:r>
      <w:r w:rsidRPr="004873C7">
        <w:rPr>
          <w:sz w:val="24"/>
          <w:szCs w:val="24"/>
          <w:vertAlign w:val="subscript"/>
        </w:rPr>
        <w:t>3Д</w:t>
      </w:r>
      <w:r w:rsidRPr="004873C7">
        <w:rPr>
          <w:sz w:val="24"/>
          <w:szCs w:val="24"/>
        </w:rPr>
        <w:t xml:space="preserve"> – коэффициент, учитывающий затемнение окон противостоящими зданиями. При отсутствии противостоящих зданий К</w:t>
      </w:r>
      <w:r w:rsidRPr="004873C7">
        <w:rPr>
          <w:sz w:val="24"/>
          <w:szCs w:val="24"/>
          <w:vertAlign w:val="subscript"/>
        </w:rPr>
        <w:t>3Д</w:t>
      </w:r>
      <w:r w:rsidRPr="004873C7">
        <w:rPr>
          <w:sz w:val="24"/>
          <w:szCs w:val="24"/>
        </w:rPr>
        <w:t>=1;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proofErr w:type="gramStart"/>
      <w:r w:rsidRPr="004873C7">
        <w:rPr>
          <w:sz w:val="24"/>
          <w:szCs w:val="24"/>
          <w:lang w:val="en-US"/>
        </w:rPr>
        <w:t>r</w:t>
      </w:r>
      <w:r w:rsidRPr="004873C7">
        <w:rPr>
          <w:sz w:val="24"/>
          <w:szCs w:val="24"/>
          <w:vertAlign w:val="subscript"/>
        </w:rPr>
        <w:t>1</w:t>
      </w:r>
      <w:r w:rsidRPr="004873C7">
        <w:rPr>
          <w:sz w:val="24"/>
          <w:szCs w:val="24"/>
        </w:rPr>
        <w:t xml:space="preserve"> – коэффициент, учитывающий отраженный свет.</w:t>
      </w:r>
      <w:proofErr w:type="gramEnd"/>
      <w:r w:rsidRPr="004873C7">
        <w:rPr>
          <w:sz w:val="24"/>
          <w:szCs w:val="24"/>
        </w:rPr>
        <w:t xml:space="preserve"> Принимаем </w:t>
      </w:r>
      <w:r w:rsidRPr="004873C7">
        <w:rPr>
          <w:sz w:val="24"/>
          <w:szCs w:val="24"/>
          <w:lang w:val="en-US"/>
        </w:rPr>
        <w:t>r</w:t>
      </w:r>
      <w:r w:rsidRPr="004873C7">
        <w:rPr>
          <w:sz w:val="24"/>
          <w:szCs w:val="24"/>
          <w:vertAlign w:val="subscript"/>
        </w:rPr>
        <w:t>1</w:t>
      </w:r>
      <w:r w:rsidRPr="004873C7">
        <w:rPr>
          <w:sz w:val="24"/>
          <w:szCs w:val="24"/>
        </w:rPr>
        <w:t>=1,2;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τ</w:t>
      </w:r>
      <w:r w:rsidRPr="004873C7">
        <w:rPr>
          <w:sz w:val="24"/>
          <w:szCs w:val="24"/>
          <w:vertAlign w:val="subscript"/>
        </w:rPr>
        <w:t>0</w:t>
      </w:r>
      <w:r w:rsidRPr="004873C7">
        <w:rPr>
          <w:sz w:val="24"/>
          <w:szCs w:val="24"/>
        </w:rPr>
        <w:t xml:space="preserve"> – общий коэффициент светопропускания светового проема.</w:t>
      </w:r>
    </w:p>
    <w:p w:rsidR="00C85E58" w:rsidRPr="004873C7" w:rsidRDefault="00C85E58" w:rsidP="00C85E58">
      <w:pPr>
        <w:pStyle w:val="Normal11pt"/>
        <w:ind w:left="2160" w:firstLine="720"/>
        <w:rPr>
          <w:sz w:val="24"/>
          <w:szCs w:val="24"/>
        </w:rPr>
      </w:pPr>
      <w:r w:rsidRPr="004873C7">
        <w:rPr>
          <w:sz w:val="24"/>
          <w:szCs w:val="24"/>
        </w:rPr>
        <w:object w:dxaOrig="1640" w:dyaOrig="360">
          <v:shape id="_x0000_i1032" type="#_x0000_t75" style="width:82.3pt;height:17.75pt" o:ole="">
            <v:imagedata r:id="rId19" o:title=""/>
          </v:shape>
          <o:OLEObject Type="Embed" ProgID="Equation.3" ShapeID="_x0000_i1032" DrawAspect="Content" ObjectID="_1304460424" r:id="rId20"/>
        </w:object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  <w:r w:rsidRPr="004873C7">
        <w:rPr>
          <w:sz w:val="24"/>
          <w:szCs w:val="24"/>
        </w:rPr>
        <w:tab/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τ</w:t>
      </w:r>
      <w:r w:rsidRPr="004873C7">
        <w:rPr>
          <w:sz w:val="24"/>
          <w:szCs w:val="24"/>
          <w:vertAlign w:val="subscript"/>
        </w:rPr>
        <w:t>1</w:t>
      </w:r>
      <w:r w:rsidRPr="004873C7">
        <w:rPr>
          <w:sz w:val="24"/>
          <w:szCs w:val="24"/>
        </w:rPr>
        <w:t xml:space="preserve"> – коэффициент светопропускания материала. Для стеклопакета 0,8;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τ</w:t>
      </w:r>
      <w:r w:rsidRPr="004873C7">
        <w:rPr>
          <w:sz w:val="24"/>
          <w:szCs w:val="24"/>
          <w:vertAlign w:val="subscript"/>
        </w:rPr>
        <w:t>2</w:t>
      </w:r>
      <w:r w:rsidRPr="004873C7">
        <w:rPr>
          <w:sz w:val="24"/>
          <w:szCs w:val="24"/>
        </w:rPr>
        <w:t xml:space="preserve"> – коэффициент, учитывающий потери света в переплетах окна. Для стекложелезобетонных панелей с пустотелыми стеклянными блоками 0,8.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τ</w:t>
      </w:r>
      <w:r w:rsidRPr="004873C7">
        <w:rPr>
          <w:sz w:val="24"/>
          <w:szCs w:val="24"/>
          <w:vertAlign w:val="subscript"/>
        </w:rPr>
        <w:t>3</w:t>
      </w:r>
      <w:r w:rsidRPr="004873C7">
        <w:rPr>
          <w:sz w:val="24"/>
          <w:szCs w:val="24"/>
        </w:rPr>
        <w:t xml:space="preserve"> – коэффициент, учитывающий потери света в несущих конструкциях. При отсутствии несущих конструкций 1.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τ</w:t>
      </w:r>
      <w:r w:rsidRPr="004873C7">
        <w:rPr>
          <w:sz w:val="24"/>
          <w:szCs w:val="24"/>
          <w:vertAlign w:val="subscript"/>
        </w:rPr>
        <w:t>4</w:t>
      </w:r>
      <w:r w:rsidRPr="004873C7">
        <w:rPr>
          <w:sz w:val="24"/>
          <w:szCs w:val="24"/>
        </w:rPr>
        <w:t xml:space="preserve"> – коэффициент, учитывающий потери света в солнцезащитных устройствах. При отсутствии таковых 1.</w:t>
      </w:r>
    </w:p>
    <w:p w:rsidR="00C85E58" w:rsidRPr="004873C7" w:rsidRDefault="00C85E58" w:rsidP="00C85E58">
      <w:pPr>
        <w:pStyle w:val="Normal11pt"/>
        <w:ind w:left="2160" w:firstLine="720"/>
        <w:rPr>
          <w:sz w:val="24"/>
          <w:szCs w:val="24"/>
        </w:rPr>
      </w:pPr>
      <w:r w:rsidRPr="004873C7">
        <w:rPr>
          <w:sz w:val="24"/>
          <w:szCs w:val="24"/>
        </w:rPr>
        <w:object w:dxaOrig="2340" w:dyaOrig="360">
          <v:shape id="_x0000_i1033" type="#_x0000_t75" style="width:116.9pt;height:17.75pt" o:ole="">
            <v:imagedata r:id="rId21" o:title=""/>
          </v:shape>
          <o:OLEObject Type="Embed" ProgID="Equation.3" ShapeID="_x0000_i1033" DrawAspect="Content" ObjectID="_1304460425" r:id="rId22"/>
        </w:objec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Вычисляем необходимую суммарную площадь световых проемов:</w:t>
      </w:r>
    </w:p>
    <w:p w:rsidR="00C85E58" w:rsidRPr="004873C7" w:rsidRDefault="00C85E58" w:rsidP="00C85E58">
      <w:pPr>
        <w:pStyle w:val="Normal11pt"/>
        <w:ind w:left="2160" w:firstLine="720"/>
        <w:rPr>
          <w:sz w:val="24"/>
          <w:szCs w:val="24"/>
        </w:rPr>
      </w:pPr>
      <w:r w:rsidRPr="004873C7">
        <w:rPr>
          <w:position w:val="-24"/>
          <w:sz w:val="24"/>
          <w:szCs w:val="24"/>
        </w:rPr>
        <w:object w:dxaOrig="3240" w:dyaOrig="620">
          <v:shape id="_x0000_i1034" type="#_x0000_t75" style="width:161.75pt;height:30.85pt" o:ole="">
            <v:imagedata r:id="rId23" o:title=""/>
          </v:shape>
          <o:OLEObject Type="Embed" ProgID="Equation.3" ShapeID="_x0000_i1034" DrawAspect="Content" ObjectID="_1304460426" r:id="rId24"/>
        </w:objec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Определяем площадь одного светового проема, имеющегося в рабочем помещении.</w:t>
      </w:r>
    </w:p>
    <w:p w:rsidR="00C85E58" w:rsidRPr="004873C7" w:rsidRDefault="00C85E58" w:rsidP="00C85E58">
      <w:pPr>
        <w:pStyle w:val="Normal11pt"/>
        <w:ind w:left="2160" w:firstLine="720"/>
        <w:rPr>
          <w:sz w:val="24"/>
          <w:szCs w:val="24"/>
        </w:rPr>
      </w:pPr>
      <w:r w:rsidRPr="004873C7">
        <w:rPr>
          <w:position w:val="-12"/>
          <w:sz w:val="24"/>
          <w:szCs w:val="24"/>
        </w:rPr>
        <w:object w:dxaOrig="1980" w:dyaOrig="360">
          <v:shape id="_x0000_i1035" type="#_x0000_t75" style="width:99.1pt;height:17.75pt" o:ole="">
            <v:imagedata r:id="rId25" o:title=""/>
          </v:shape>
          <o:OLEObject Type="Embed" ProgID="Equation.3" ShapeID="_x0000_i1035" DrawAspect="Content" ObjectID="_1304460427" r:id="rId26"/>
        </w:object>
      </w:r>
      <w:r w:rsidRPr="004873C7">
        <w:rPr>
          <w:sz w:val="24"/>
          <w:szCs w:val="24"/>
        </w:rPr>
        <w:t>м</w:t>
      </w:r>
      <w:proofErr w:type="gramStart"/>
      <w:r w:rsidRPr="004873C7">
        <w:rPr>
          <w:sz w:val="24"/>
          <w:szCs w:val="24"/>
          <w:vertAlign w:val="superscript"/>
        </w:rPr>
        <w:t>2</w:t>
      </w:r>
      <w:proofErr w:type="gramEnd"/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 Тогда количество световых проемов, необходимых при данном значении </w:t>
      </w:r>
      <w:proofErr w:type="gramStart"/>
      <w:r w:rsidRPr="004873C7">
        <w:rPr>
          <w:sz w:val="24"/>
          <w:szCs w:val="24"/>
        </w:rPr>
        <w:t>нормированного</w:t>
      </w:r>
      <w:proofErr w:type="gramEnd"/>
      <w:r w:rsidRPr="004873C7">
        <w:rPr>
          <w:sz w:val="24"/>
          <w:szCs w:val="24"/>
        </w:rPr>
        <w:t xml:space="preserve"> КЕО, </w:t>
      </w:r>
      <w:proofErr w:type="spellStart"/>
      <w:r w:rsidRPr="004873C7">
        <w:rPr>
          <w:sz w:val="24"/>
          <w:szCs w:val="24"/>
        </w:rPr>
        <w:t>расчитывается</w:t>
      </w:r>
      <w:proofErr w:type="spellEnd"/>
      <w:r w:rsidRPr="004873C7">
        <w:rPr>
          <w:sz w:val="24"/>
          <w:szCs w:val="24"/>
        </w:rPr>
        <w:t xml:space="preserve"> по формуле:</w:t>
      </w:r>
    </w:p>
    <w:p w:rsidR="00C85E58" w:rsidRPr="004873C7" w:rsidRDefault="00C85E58" w:rsidP="00C85E58">
      <w:pPr>
        <w:pStyle w:val="Normal11pt"/>
        <w:ind w:left="2160" w:firstLine="720"/>
        <w:rPr>
          <w:sz w:val="24"/>
          <w:szCs w:val="24"/>
        </w:rPr>
      </w:pPr>
      <w:r w:rsidRPr="004873C7">
        <w:rPr>
          <w:position w:val="-34"/>
          <w:sz w:val="24"/>
          <w:szCs w:val="24"/>
        </w:rPr>
        <w:object w:dxaOrig="1820" w:dyaOrig="740">
          <v:shape id="_x0000_i1036" type="#_x0000_t75" style="width:90.7pt;height:37.4pt" o:ole="">
            <v:imagedata r:id="rId27" o:title=""/>
          </v:shape>
          <o:OLEObject Type="Embed" ProgID="Equation.3" ShapeID="_x0000_i1036" DrawAspect="Content" ObjectID="_1304460428" r:id="rId28"/>
        </w:objec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>Таким образом, рассматриваемое помещение удовлетворяет требованиям к минимальному значению КЕО.</w:t>
      </w:r>
    </w:p>
    <w:p w:rsidR="00C85E58" w:rsidRPr="004873C7" w:rsidRDefault="00C85E58" w:rsidP="00C85E58">
      <w:pPr>
        <w:pStyle w:val="Normal11pt"/>
        <w:rPr>
          <w:sz w:val="24"/>
          <w:szCs w:val="24"/>
        </w:rPr>
      </w:pPr>
      <w:r w:rsidRPr="004873C7">
        <w:rPr>
          <w:sz w:val="24"/>
          <w:szCs w:val="24"/>
        </w:rPr>
        <w:t xml:space="preserve">На рисунке 5.1  приводится план помещения с учетом </w:t>
      </w:r>
      <w:proofErr w:type="gramStart"/>
      <w:r w:rsidRPr="004873C7">
        <w:rPr>
          <w:sz w:val="24"/>
          <w:szCs w:val="24"/>
        </w:rPr>
        <w:t>необходимых</w:t>
      </w:r>
      <w:proofErr w:type="gramEnd"/>
      <w:r w:rsidRPr="004873C7">
        <w:rPr>
          <w:sz w:val="24"/>
          <w:szCs w:val="24"/>
        </w:rPr>
        <w:t xml:space="preserve"> </w:t>
      </w:r>
      <w:proofErr w:type="spellStart"/>
      <w:r w:rsidRPr="004873C7">
        <w:rPr>
          <w:sz w:val="24"/>
          <w:szCs w:val="24"/>
        </w:rPr>
        <w:t>светопроемов</w:t>
      </w:r>
      <w:proofErr w:type="spellEnd"/>
      <w:r w:rsidRPr="004873C7">
        <w:rPr>
          <w:sz w:val="24"/>
          <w:szCs w:val="24"/>
        </w:rPr>
        <w:t>.</w:t>
      </w:r>
    </w:p>
    <w:p w:rsidR="00C85E58" w:rsidRDefault="00C85E58" w:rsidP="00C85E58">
      <w:pPr>
        <w:pStyle w:val="Normal11pt"/>
      </w:pPr>
    </w:p>
    <w:p w:rsidR="00C85E58" w:rsidRPr="007E5DBE" w:rsidRDefault="00C85E58" w:rsidP="00C85E58">
      <w:pPr>
        <w:pStyle w:val="Normal11pt"/>
        <w:jc w:val="center"/>
      </w:pPr>
      <w:r>
        <w:rPr>
          <w:noProof/>
        </w:rPr>
        <w:lastRenderedPageBreak/>
        <w:drawing>
          <wp:inline distT="0" distB="0" distL="0" distR="0">
            <wp:extent cx="2430780" cy="249999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58" w:rsidRPr="000D5DEE" w:rsidRDefault="00C85E58" w:rsidP="00C85E58">
      <w:pPr>
        <w:pStyle w:val="Normal11pt"/>
        <w:jc w:val="center"/>
        <w:rPr>
          <w:sz w:val="24"/>
          <w:szCs w:val="24"/>
        </w:rPr>
      </w:pPr>
      <w:r w:rsidRPr="000D5DEE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0D5DEE">
        <w:rPr>
          <w:sz w:val="24"/>
          <w:szCs w:val="24"/>
        </w:rPr>
        <w:t xml:space="preserve"> 5.1.  План помещения с учетом </w:t>
      </w:r>
      <w:proofErr w:type="gramStart"/>
      <w:r w:rsidRPr="000D5DEE">
        <w:rPr>
          <w:sz w:val="24"/>
          <w:szCs w:val="24"/>
        </w:rPr>
        <w:t>необходимых</w:t>
      </w:r>
      <w:proofErr w:type="gramEnd"/>
      <w:r w:rsidRPr="000D5DEE">
        <w:rPr>
          <w:sz w:val="24"/>
          <w:szCs w:val="24"/>
        </w:rPr>
        <w:t xml:space="preserve"> </w:t>
      </w:r>
      <w:proofErr w:type="spellStart"/>
      <w:r w:rsidRPr="000D5DEE">
        <w:rPr>
          <w:sz w:val="24"/>
          <w:szCs w:val="24"/>
        </w:rPr>
        <w:t>светопроемов</w:t>
      </w:r>
      <w:proofErr w:type="spellEnd"/>
    </w:p>
    <w:p w:rsidR="00C85E58" w:rsidRDefault="00C85E58" w:rsidP="00C85E58">
      <w:pPr>
        <w:pStyle w:val="Li"/>
        <w:numPr>
          <w:ilvl w:val="0"/>
          <w:numId w:val="0"/>
        </w:numPr>
        <w:ind w:firstLine="708"/>
        <w:jc w:val="both"/>
      </w:pPr>
    </w:p>
    <w:p w:rsidR="00C85E58" w:rsidRPr="005966AE" w:rsidRDefault="00C85E58" w:rsidP="00C85E58">
      <w:pPr>
        <w:pStyle w:val="Li"/>
        <w:numPr>
          <w:ilvl w:val="0"/>
          <w:numId w:val="0"/>
        </w:numPr>
        <w:ind w:firstLine="708"/>
        <w:jc w:val="both"/>
      </w:pPr>
      <w:r>
        <w:t>В зависимости от погодных условий и времени года, дневное естественное освещение на улице варьируется от 5000 лк до 100000 лк. Таким образом, освещённость рабочего места только лишь от естественного бокового освещения может составлять 90-1800 лк. При превышении предельного значения освещённости (500 лк) необходимо задействовать средства снижения уровня естественного освещения – жалюзи, шторы. На случай недостатка освещённости рабочего места предусмотрено искусственное освещение – общее (люстры, лампы дневного освещения, в т.ч. вмонтированные в потолок) и местное (локальные, индивидуальные светильники</w:t>
      </w:r>
      <w:r w:rsidRPr="005966AE">
        <w:t>).</w:t>
      </w:r>
    </w:p>
    <w:p w:rsidR="00C85E58" w:rsidRDefault="00C85E58" w:rsidP="00C85E58">
      <w:pPr>
        <w:pStyle w:val="Li"/>
        <w:numPr>
          <w:ilvl w:val="0"/>
          <w:numId w:val="0"/>
        </w:numPr>
        <w:ind w:firstLine="900"/>
      </w:pPr>
    </w:p>
    <w:p w:rsidR="00C85E58" w:rsidRPr="003A7BF3" w:rsidRDefault="00C85E58" w:rsidP="00C85E58">
      <w:pPr>
        <w:pStyle w:val="Heading2"/>
        <w:jc w:val="both"/>
        <w:rPr>
          <w:rFonts w:ascii="Times New Roman" w:hAnsi="Times New Roman" w:cs="Times New Roman"/>
          <w:i w:val="0"/>
          <w:iCs w:val="0"/>
        </w:rPr>
      </w:pPr>
      <w:bookmarkStart w:id="36" w:name="_Toc169925534"/>
      <w:bookmarkStart w:id="37" w:name="_Toc197587407"/>
      <w:r w:rsidRPr="003A7BF3">
        <w:rPr>
          <w:rFonts w:ascii="Times New Roman" w:hAnsi="Times New Roman" w:cs="Times New Roman"/>
          <w:i w:val="0"/>
          <w:iCs w:val="0"/>
        </w:rPr>
        <w:t>5.2.2. Расчет</w:t>
      </w:r>
      <w:bookmarkEnd w:id="36"/>
      <w:r w:rsidRPr="003A7BF3">
        <w:rPr>
          <w:rFonts w:ascii="Times New Roman" w:hAnsi="Times New Roman" w:cs="Times New Roman"/>
          <w:i w:val="0"/>
          <w:iCs w:val="0"/>
        </w:rPr>
        <w:t xml:space="preserve"> искусственного освещения</w:t>
      </w:r>
      <w:bookmarkEnd w:id="37"/>
    </w:p>
    <w:p w:rsidR="00C85E58" w:rsidRPr="003A7BF3" w:rsidRDefault="00C85E58" w:rsidP="00C85E58">
      <w:pPr>
        <w:rPr>
          <w:rFonts w:ascii="Times New Roman" w:hAnsi="Times New Roman"/>
          <w:b/>
          <w:sz w:val="24"/>
          <w:szCs w:val="24"/>
        </w:rPr>
      </w:pPr>
      <w:r w:rsidRPr="003A7BF3">
        <w:rPr>
          <w:rFonts w:ascii="Times New Roman" w:hAnsi="Times New Roman"/>
          <w:b/>
          <w:sz w:val="24"/>
          <w:szCs w:val="24"/>
        </w:rPr>
        <w:t>5.2.2.1. Общее освещение</w:t>
      </w:r>
    </w:p>
    <w:p w:rsidR="00C85E58" w:rsidRPr="003A7BF3" w:rsidRDefault="00C85E58" w:rsidP="00C85E5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Необходимо решить следующие вопросы:</w:t>
      </w:r>
    </w:p>
    <w:p w:rsidR="00C85E58" w:rsidRPr="003A7BF3" w:rsidRDefault="00C85E58" w:rsidP="00C85E5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определить типы ламп и светильников;</w:t>
      </w:r>
    </w:p>
    <w:p w:rsidR="00C85E58" w:rsidRPr="003A7BF3" w:rsidRDefault="00C85E58" w:rsidP="00C85E5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выбрать расположение светильников и определить потребность в их колич</w:t>
      </w:r>
      <w:r w:rsidRPr="003A7BF3">
        <w:rPr>
          <w:rFonts w:ascii="Times New Roman" w:hAnsi="Times New Roman"/>
          <w:sz w:val="24"/>
          <w:szCs w:val="24"/>
        </w:rPr>
        <w:t>е</w:t>
      </w:r>
      <w:r w:rsidRPr="003A7BF3">
        <w:rPr>
          <w:rFonts w:ascii="Times New Roman" w:hAnsi="Times New Roman"/>
          <w:sz w:val="24"/>
          <w:szCs w:val="24"/>
        </w:rPr>
        <w:t>стве</w:t>
      </w:r>
    </w:p>
    <w:p w:rsidR="00C85E58" w:rsidRPr="003A7BF3" w:rsidRDefault="00C85E58" w:rsidP="00C85E5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Для освещения рабочего помещения с ПЭВМ используются люминесцентные лампы, обычно типа ЛБ 20/40/80 или их зарубежные аналоги. Для освещения проектируемого помещения предусмотрено использование ламп ЛБ 40.  Расположение светильников – сплошными рядами.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Для расчета искусственного освещения системы общего освещения используется метод светового потока. Световой поток определяется по формуле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28"/>
          <w:sz w:val="24"/>
          <w:szCs w:val="24"/>
        </w:rPr>
        <w:object w:dxaOrig="1780" w:dyaOrig="680">
          <v:shape id="_x0000_i1037" type="#_x0000_t75" style="width:88.85pt;height:33.65pt" o:ole="">
            <v:imagedata r:id="rId30" o:title=""/>
          </v:shape>
          <o:OLEObject Type="Embed" ProgID="Equation.3" ShapeID="_x0000_i1037" DrawAspect="Content" ObjectID="_1304460429" r:id="rId31"/>
        </w:object>
      </w:r>
      <w:r w:rsidRPr="003A7BF3">
        <w:rPr>
          <w:rFonts w:ascii="Times New Roman" w:hAnsi="Times New Roman"/>
          <w:sz w:val="24"/>
          <w:szCs w:val="24"/>
        </w:rPr>
        <w:t>, где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2"/>
          <w:sz w:val="24"/>
          <w:szCs w:val="24"/>
        </w:rPr>
        <w:object w:dxaOrig="340" w:dyaOrig="360">
          <v:shape id="_x0000_i1038" type="#_x0000_t75" style="width:16.85pt;height:17.75pt" o:ole="">
            <v:imagedata r:id="rId32" o:title=""/>
          </v:shape>
          <o:OLEObject Type="Embed" ProgID="Equation.3" ShapeID="_x0000_i1038" DrawAspect="Content" ObjectID="_1304460430" r:id="rId33"/>
        </w:object>
      </w:r>
      <w:r w:rsidRPr="003A7BF3">
        <w:rPr>
          <w:rFonts w:ascii="Times New Roman" w:hAnsi="Times New Roman"/>
          <w:sz w:val="24"/>
          <w:szCs w:val="24"/>
        </w:rPr>
        <w:t xml:space="preserve"> – световой поток лампы в люменах; 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360" w:dyaOrig="340">
          <v:shape id="_x0000_i1039" type="#_x0000_t75" style="width:17.75pt;height:16.85pt" o:ole="">
            <v:imagedata r:id="rId34" o:title=""/>
          </v:shape>
          <o:OLEObject Type="Embed" ProgID="Equation.3" ShapeID="_x0000_i1039" DrawAspect="Content" ObjectID="_1304460431" r:id="rId35"/>
        </w:object>
      </w:r>
      <w:r w:rsidRPr="003A7BF3">
        <w:rPr>
          <w:rFonts w:ascii="Times New Roman" w:hAnsi="Times New Roman"/>
          <w:sz w:val="24"/>
          <w:szCs w:val="24"/>
        </w:rPr>
        <w:t xml:space="preserve"> – нормируемая освещенность, лк;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40" type="#_x0000_t75" style="width:11.2pt;height:14.05pt" o:ole="">
            <v:imagedata r:id="rId36" o:title=""/>
          </v:shape>
          <o:OLEObject Type="Embed" ProgID="Equation.3" ShapeID="_x0000_i1040" DrawAspect="Content" ObjectID="_1304460432" r:id="rId37"/>
        </w:object>
      </w:r>
      <w:r w:rsidRPr="003A7BF3">
        <w:rPr>
          <w:rFonts w:ascii="Times New Roman" w:hAnsi="Times New Roman"/>
          <w:sz w:val="24"/>
          <w:szCs w:val="24"/>
        </w:rPr>
        <w:t xml:space="preserve"> – площадь помещения, м</w:t>
      </w:r>
      <w:proofErr w:type="gramStart"/>
      <w:r w:rsidRPr="003A7BF3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3A7BF3">
        <w:rPr>
          <w:rFonts w:ascii="Times New Roman" w:hAnsi="Times New Roman"/>
          <w:sz w:val="24"/>
          <w:szCs w:val="24"/>
        </w:rPr>
        <w:t>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  <w:lang w:val="en-US"/>
        </w:rPr>
        <w:t>k</w:t>
      </w:r>
      <w:r w:rsidRPr="003A7BF3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Pr="003A7BF3">
        <w:rPr>
          <w:rFonts w:ascii="Times New Roman" w:hAnsi="Times New Roman"/>
          <w:sz w:val="24"/>
          <w:szCs w:val="24"/>
        </w:rPr>
        <w:t>коэффициент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 запаса;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  <w:lang w:val="en-US"/>
        </w:rPr>
        <w:t>z</w:t>
      </w:r>
      <w:r w:rsidRPr="003A7BF3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Pr="003A7BF3">
        <w:rPr>
          <w:rFonts w:ascii="Times New Roman" w:hAnsi="Times New Roman"/>
          <w:sz w:val="24"/>
          <w:szCs w:val="24"/>
        </w:rPr>
        <w:t>отношение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 средней освещенности к минимальной, принимается  </w:t>
      </w:r>
      <w:r w:rsidRPr="003A7BF3">
        <w:rPr>
          <w:rFonts w:ascii="Times New Roman" w:hAnsi="Times New Roman"/>
          <w:sz w:val="24"/>
          <w:szCs w:val="24"/>
          <w:lang w:val="en-US"/>
        </w:rPr>
        <w:t>z</w:t>
      </w:r>
      <w:r w:rsidRPr="003A7BF3">
        <w:rPr>
          <w:rFonts w:ascii="Times New Roman" w:hAnsi="Times New Roman"/>
          <w:sz w:val="24"/>
          <w:szCs w:val="24"/>
        </w:rPr>
        <w:t xml:space="preserve"> = 1,1</w:t>
      </w:r>
      <w:r w:rsidRPr="003A7BF3">
        <w:rPr>
          <w:rFonts w:ascii="Times New Roman" w:hAnsi="Times New Roman"/>
          <w:sz w:val="24"/>
          <w:szCs w:val="24"/>
        </w:rPr>
        <w:sym w:font="Symbol" w:char="F0B8"/>
      </w:r>
      <w:r w:rsidRPr="003A7BF3">
        <w:rPr>
          <w:rFonts w:ascii="Times New Roman" w:hAnsi="Times New Roman"/>
          <w:sz w:val="24"/>
          <w:szCs w:val="24"/>
        </w:rPr>
        <w:t>1,15;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  <w:lang w:val="en-US"/>
        </w:rPr>
        <w:t>N</w:t>
      </w:r>
      <w:r w:rsidRPr="003A7BF3">
        <w:rPr>
          <w:rFonts w:ascii="Times New Roman" w:hAnsi="Times New Roman"/>
          <w:sz w:val="24"/>
          <w:szCs w:val="24"/>
        </w:rPr>
        <w:t xml:space="preserve"> – </w:t>
      </w:r>
      <w:proofErr w:type="gramStart"/>
      <w:r w:rsidRPr="003A7BF3">
        <w:rPr>
          <w:rFonts w:ascii="Times New Roman" w:hAnsi="Times New Roman"/>
          <w:sz w:val="24"/>
          <w:szCs w:val="24"/>
        </w:rPr>
        <w:t>число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 светильников;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sym w:font="Symbol" w:char="F068"/>
      </w:r>
      <w:r w:rsidRPr="003A7BF3">
        <w:rPr>
          <w:rFonts w:ascii="Times New Roman" w:hAnsi="Times New Roman"/>
          <w:sz w:val="24"/>
          <w:szCs w:val="24"/>
        </w:rPr>
        <w:t>– коэффициент использования светового пот</w:t>
      </w:r>
      <w:r w:rsidRPr="003A7BF3">
        <w:rPr>
          <w:rFonts w:ascii="Times New Roman" w:hAnsi="Times New Roman"/>
          <w:sz w:val="24"/>
          <w:szCs w:val="24"/>
        </w:rPr>
        <w:t>о</w:t>
      </w:r>
      <w:r w:rsidRPr="003A7BF3">
        <w:rPr>
          <w:rFonts w:ascii="Times New Roman" w:hAnsi="Times New Roman"/>
          <w:sz w:val="24"/>
          <w:szCs w:val="24"/>
        </w:rPr>
        <w:t>ка ламп.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1260" w:dyaOrig="340">
          <v:shape id="_x0000_i1041" type="#_x0000_t75" style="width:62.65pt;height:16.85pt" o:ole="">
            <v:imagedata r:id="rId38" o:title=""/>
          </v:shape>
          <o:OLEObject Type="Embed" ProgID="Equation.3" ShapeID="_x0000_i1041" DrawAspect="Content" ObjectID="_1304460433" r:id="rId39"/>
        </w:object>
      </w:r>
      <w:r w:rsidRPr="003A7BF3">
        <w:rPr>
          <w:rFonts w:ascii="Times New Roman" w:hAnsi="Times New Roman"/>
          <w:sz w:val="24"/>
          <w:szCs w:val="24"/>
        </w:rPr>
        <w:t xml:space="preserve"> 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700" w:dyaOrig="320">
          <v:shape id="_x0000_i1042" type="#_x0000_t75" style="width:34.6pt;height:15.9pt" o:ole="">
            <v:imagedata r:id="rId40" o:title=""/>
          </v:shape>
          <o:OLEObject Type="Embed" ProgID="Equation.3" ShapeID="_x0000_i1042" DrawAspect="Content" ObjectID="_1304460434" r:id="rId41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660" w:dyaOrig="320">
          <v:shape id="_x0000_i1043" type="#_x0000_t75" style="width:32.75pt;height:15.9pt" o:ole="">
            <v:imagedata r:id="rId42" o:title=""/>
          </v:shape>
          <o:OLEObject Type="Embed" ProgID="Equation.3" ShapeID="_x0000_i1043" DrawAspect="Content" ObjectID="_1304460435" r:id="rId43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Коэффициент использования светового потока зависит от типа светильника, коэффициентов отражения потолка </w:t>
      </w:r>
      <w:r w:rsidRPr="003A7BF3">
        <w:rPr>
          <w:rFonts w:ascii="Times New Roman" w:hAnsi="Times New Roman"/>
          <w:sz w:val="24"/>
          <w:szCs w:val="24"/>
        </w:rPr>
        <w:sym w:font="Symbol" w:char="F072"/>
      </w:r>
      <w:r w:rsidRPr="003A7BF3">
        <w:rPr>
          <w:rFonts w:ascii="Times New Roman" w:hAnsi="Times New Roman"/>
          <w:sz w:val="24"/>
          <w:szCs w:val="24"/>
          <w:vertAlign w:val="subscript"/>
        </w:rPr>
        <w:t>П</w:t>
      </w:r>
      <w:r w:rsidRPr="003A7BF3">
        <w:rPr>
          <w:rFonts w:ascii="Times New Roman" w:hAnsi="Times New Roman"/>
          <w:sz w:val="24"/>
          <w:szCs w:val="24"/>
        </w:rPr>
        <w:t>, стен</w:t>
      </w:r>
      <w:proofErr w:type="gramStart"/>
      <w:r w:rsidRPr="003A7BF3">
        <w:rPr>
          <w:rFonts w:ascii="Times New Roman" w:hAnsi="Times New Roman"/>
          <w:sz w:val="24"/>
          <w:szCs w:val="24"/>
        </w:rPr>
        <w:t xml:space="preserve"> </w:t>
      </w:r>
      <w:r w:rsidRPr="003A7BF3">
        <w:rPr>
          <w:rFonts w:ascii="Times New Roman" w:hAnsi="Times New Roman"/>
          <w:sz w:val="24"/>
          <w:szCs w:val="24"/>
        </w:rPr>
        <w:sym w:font="Symbol" w:char="F072"/>
      </w:r>
      <w:r w:rsidRPr="003A7BF3">
        <w:rPr>
          <w:rFonts w:ascii="Times New Roman" w:hAnsi="Times New Roman"/>
          <w:sz w:val="24"/>
          <w:szCs w:val="24"/>
          <w:vertAlign w:val="subscript"/>
        </w:rPr>
        <w:t>С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 и индекса помещения (</w:t>
      </w:r>
      <w:proofErr w:type="spellStart"/>
      <w:r w:rsidRPr="003A7BF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3A7BF3">
        <w:rPr>
          <w:rFonts w:ascii="Times New Roman" w:hAnsi="Times New Roman"/>
          <w:sz w:val="24"/>
          <w:szCs w:val="24"/>
        </w:rPr>
        <w:t>), учитывающего геометрические параметры помещения и высоту подвеса светильника: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30"/>
          <w:sz w:val="24"/>
          <w:szCs w:val="24"/>
        </w:rPr>
        <w:object w:dxaOrig="2200" w:dyaOrig="680">
          <v:shape id="_x0000_i1044" type="#_x0000_t75" style="width:110.35pt;height:33.65pt" o:ole="">
            <v:imagedata r:id="rId44" o:title=""/>
          </v:shape>
          <o:OLEObject Type="Embed" ProgID="Equation.3" ShapeID="_x0000_i1044" DrawAspect="Content" ObjectID="_1304460436" r:id="rId45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045" type="#_x0000_t75" style="width:105.65pt;height:17.75pt" o:ole="">
            <v:imagedata r:id="rId46" o:title=""/>
          </v:shape>
          <o:OLEObject Type="Embed" ProgID="Equation.3" ShapeID="_x0000_i1045" DrawAspect="Content" ObjectID="_1304460437" r:id="rId47"/>
        </w:object>
      </w:r>
      <w:r w:rsidRPr="003A7BF3">
        <w:rPr>
          <w:rFonts w:ascii="Times New Roman" w:hAnsi="Times New Roman"/>
          <w:sz w:val="24"/>
          <w:szCs w:val="24"/>
        </w:rPr>
        <w:t xml:space="preserve">, где 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380" w:dyaOrig="340">
          <v:shape id="_x0000_i1046" type="#_x0000_t75" style="width:18.7pt;height:16.85pt" o:ole="">
            <v:imagedata r:id="rId48" o:title=""/>
          </v:shape>
          <o:OLEObject Type="Embed" ProgID="Equation.3" ShapeID="_x0000_i1046" DrawAspect="Content" ObjectID="_1304460438" r:id="rId49"/>
        </w:object>
      </w:r>
      <w:r w:rsidRPr="003A7BF3">
        <w:rPr>
          <w:rFonts w:ascii="Times New Roman" w:hAnsi="Times New Roman"/>
          <w:sz w:val="24"/>
          <w:szCs w:val="24"/>
        </w:rPr>
        <w:t xml:space="preserve"> – высота подвеса светильника над рабочей поверхн</w:t>
      </w:r>
      <w:r w:rsidRPr="003A7BF3">
        <w:rPr>
          <w:rFonts w:ascii="Times New Roman" w:hAnsi="Times New Roman"/>
          <w:sz w:val="24"/>
          <w:szCs w:val="24"/>
        </w:rPr>
        <w:t>о</w:t>
      </w:r>
      <w:r w:rsidRPr="003A7BF3">
        <w:rPr>
          <w:rFonts w:ascii="Times New Roman" w:hAnsi="Times New Roman"/>
          <w:sz w:val="24"/>
          <w:szCs w:val="24"/>
        </w:rPr>
        <w:t>стью;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 </w:t>
      </w:r>
      <w:r w:rsidRPr="003A7BF3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47" type="#_x0000_t75" style="width:14.05pt;height:13.1pt" o:ole="">
            <v:imagedata r:id="rId50" o:title=""/>
          </v:shape>
          <o:OLEObject Type="Embed" ProgID="Equation.3" ShapeID="_x0000_i1047" DrawAspect="Content" ObjectID="_1304460439" r:id="rId51"/>
        </w:object>
      </w:r>
      <w:r w:rsidRPr="003A7BF3">
        <w:rPr>
          <w:rFonts w:ascii="Times New Roman" w:hAnsi="Times New Roman"/>
          <w:sz w:val="24"/>
          <w:szCs w:val="24"/>
        </w:rPr>
        <w:t xml:space="preserve"> – высота помещения; 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2"/>
          <w:sz w:val="24"/>
          <w:szCs w:val="24"/>
        </w:rPr>
        <w:object w:dxaOrig="380" w:dyaOrig="360">
          <v:shape id="_x0000_i1048" type="#_x0000_t75" style="width:18.7pt;height:17.75pt" o:ole="">
            <v:imagedata r:id="rId52" o:title=""/>
          </v:shape>
          <o:OLEObject Type="Embed" ProgID="Equation.3" ShapeID="_x0000_i1048" DrawAspect="Content" ObjectID="_1304460440" r:id="rId53"/>
        </w:object>
      </w:r>
      <w:r w:rsidRPr="003A7BF3">
        <w:rPr>
          <w:rFonts w:ascii="Times New Roman" w:hAnsi="Times New Roman"/>
          <w:sz w:val="24"/>
          <w:szCs w:val="24"/>
        </w:rPr>
        <w:t xml:space="preserve"> – высота подвеса светильника от потолка;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520" w:dyaOrig="340">
          <v:shape id="_x0000_i1049" type="#_x0000_t75" style="width:26.2pt;height:16.85pt" o:ole="">
            <v:imagedata r:id="rId54" o:title=""/>
          </v:shape>
          <o:OLEObject Type="Embed" ProgID="Equation.3" ShapeID="_x0000_i1049" DrawAspect="Content" ObjectID="_1304460441" r:id="rId55"/>
        </w:object>
      </w:r>
      <w:r w:rsidRPr="003A7BF3">
        <w:rPr>
          <w:rFonts w:ascii="Times New Roman" w:hAnsi="Times New Roman"/>
          <w:sz w:val="24"/>
          <w:szCs w:val="24"/>
        </w:rPr>
        <w:t xml:space="preserve"> – высота рабочего места.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1500" w:dyaOrig="340">
          <v:shape id="_x0000_i1050" type="#_x0000_t75" style="width:74.8pt;height:16.85pt" o:ole="">
            <v:imagedata r:id="rId56" o:title=""/>
          </v:shape>
          <o:OLEObject Type="Embed" ProgID="Equation.3" ShapeID="_x0000_i1050" DrawAspect="Content" ObjectID="_1304460442" r:id="rId57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051" type="#_x0000_t75" style="width:47.7pt;height:17.75pt" o:ole="">
            <v:imagedata r:id="rId58" o:title=""/>
          </v:shape>
          <o:OLEObject Type="Embed" ProgID="Equation.3" ShapeID="_x0000_i1051" DrawAspect="Content" ObjectID="_1304460443" r:id="rId59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6"/>
          <w:sz w:val="24"/>
          <w:szCs w:val="24"/>
        </w:rPr>
        <w:object w:dxaOrig="1140" w:dyaOrig="279">
          <v:shape id="_x0000_i1052" type="#_x0000_t75" style="width:57.05pt;height:14.05pt" o:ole="">
            <v:imagedata r:id="rId60" o:title=""/>
          </v:shape>
          <o:OLEObject Type="Embed" ProgID="Equation.3" ShapeID="_x0000_i1052" DrawAspect="Content" ObjectID="_1304460444" r:id="rId61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0"/>
          <w:sz w:val="24"/>
          <w:szCs w:val="24"/>
        </w:rPr>
        <w:object w:dxaOrig="1320" w:dyaOrig="340">
          <v:shape id="_x0000_i1053" type="#_x0000_t75" style="width:66.4pt;height:16.85pt" o:ole="">
            <v:imagedata r:id="rId62" o:title=""/>
          </v:shape>
          <o:OLEObject Type="Embed" ProgID="Equation.3" ShapeID="_x0000_i1053" DrawAspect="Content" ObjectID="_1304460445" r:id="rId63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sym w:font="Symbol" w:char="F072"/>
      </w:r>
      <w:proofErr w:type="gramStart"/>
      <w:r w:rsidRPr="003A7BF3">
        <w:rPr>
          <w:rFonts w:ascii="Times New Roman" w:hAnsi="Times New Roman"/>
          <w:sz w:val="24"/>
          <w:szCs w:val="24"/>
          <w:vertAlign w:val="subscript"/>
        </w:rPr>
        <w:t>П</w:t>
      </w:r>
      <w:proofErr w:type="gramEnd"/>
      <w:r w:rsidRPr="003A7BF3">
        <w:rPr>
          <w:rFonts w:ascii="Times New Roman" w:hAnsi="Times New Roman"/>
          <w:sz w:val="24"/>
          <w:szCs w:val="24"/>
          <w:vertAlign w:val="subscript"/>
        </w:rPr>
        <w:t xml:space="preserve"> = </w:t>
      </w:r>
      <w:r w:rsidRPr="003A7BF3">
        <w:rPr>
          <w:rFonts w:ascii="Times New Roman" w:hAnsi="Times New Roman"/>
          <w:sz w:val="24"/>
          <w:szCs w:val="24"/>
        </w:rPr>
        <w:t>70%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sym w:font="Symbol" w:char="F072"/>
      </w:r>
      <w:r w:rsidRPr="003A7BF3">
        <w:rPr>
          <w:rFonts w:ascii="Times New Roman" w:hAnsi="Times New Roman"/>
          <w:sz w:val="24"/>
          <w:szCs w:val="24"/>
          <w:vertAlign w:val="subscript"/>
        </w:rPr>
        <w:t xml:space="preserve">С </w:t>
      </w:r>
      <w:r w:rsidRPr="003A7BF3">
        <w:rPr>
          <w:rFonts w:ascii="Times New Roman" w:hAnsi="Times New Roman"/>
          <w:sz w:val="24"/>
          <w:szCs w:val="24"/>
        </w:rPr>
        <w:t>= 50%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sym w:font="Symbol" w:char="F068"/>
      </w:r>
      <w:r w:rsidRPr="003A7BF3">
        <w:rPr>
          <w:rFonts w:ascii="Times New Roman" w:hAnsi="Times New Roman"/>
          <w:sz w:val="24"/>
          <w:szCs w:val="24"/>
        </w:rPr>
        <w:t xml:space="preserve"> = 0,51</w: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12"/>
          <w:sz w:val="24"/>
          <w:szCs w:val="24"/>
        </w:rPr>
        <w:object w:dxaOrig="1380" w:dyaOrig="360">
          <v:shape id="_x0000_i1054" type="#_x0000_t75" style="width:69.2pt;height:17.75pt" o:ole="">
            <v:imagedata r:id="rId64" o:title=""/>
          </v:shape>
          <o:OLEObject Type="Embed" ProgID="Equation.3" ShapeID="_x0000_i1054" DrawAspect="Content" ObjectID="_1304460446" r:id="rId65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28"/>
          <w:sz w:val="24"/>
          <w:szCs w:val="24"/>
        </w:rPr>
        <w:object w:dxaOrig="2659" w:dyaOrig="660">
          <v:shape id="_x0000_i1055" type="#_x0000_t75" style="width:132.8pt;height:32.75pt" o:ole="">
            <v:imagedata r:id="rId66" o:title=""/>
          </v:shape>
          <o:OLEObject Type="Embed" ProgID="Equation.3" ShapeID="_x0000_i1055" DrawAspect="Content" ObjectID="_1304460447" r:id="rId67"/>
        </w:object>
      </w:r>
    </w:p>
    <w:p w:rsidR="00C85E58" w:rsidRPr="003A7BF3" w:rsidRDefault="00C85E58" w:rsidP="00C85E58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Таким образом, необходимо установить 4 лампы общего освещения (при этом световой поток будет меньше расчетного на 3%). Предполагается организовать 2 светильника с 2 лампами в каждом. Светильники будут расположены на некотором расстоянии друг от друга. Предусматривается раздельное управление светильниками, чтобы их можно было включать по отдельности. Длина одного светильника – </w:t>
      </w:r>
      <w:smartTag w:uri="urn:schemas-microsoft-com:office:smarttags" w:element="metricconverter">
        <w:smartTagPr>
          <w:attr w:name="ProductID" w:val="1 м"/>
        </w:smartTagPr>
        <w:r w:rsidRPr="003A7BF3">
          <w:rPr>
            <w:rFonts w:ascii="Times New Roman" w:hAnsi="Times New Roman"/>
            <w:sz w:val="24"/>
            <w:szCs w:val="24"/>
          </w:rPr>
          <w:t>1 м</w:t>
        </w:r>
      </w:smartTag>
      <w:r w:rsidRPr="003A7BF3">
        <w:rPr>
          <w:rFonts w:ascii="Times New Roman" w:hAnsi="Times New Roman"/>
          <w:sz w:val="24"/>
          <w:szCs w:val="24"/>
        </w:rPr>
        <w:t xml:space="preserve">, ширина – </w:t>
      </w:r>
      <w:smartTag w:uri="urn:schemas-microsoft-com:office:smarttags" w:element="metricconverter">
        <w:smartTagPr>
          <w:attr w:name="ProductID" w:val="0.4 м"/>
        </w:smartTagPr>
        <w:r w:rsidRPr="003A7BF3">
          <w:rPr>
            <w:rFonts w:ascii="Times New Roman" w:hAnsi="Times New Roman"/>
            <w:sz w:val="24"/>
            <w:szCs w:val="24"/>
          </w:rPr>
          <w:t>0.4 м</w:t>
        </w:r>
      </w:smartTag>
      <w:r w:rsidRPr="003A7BF3">
        <w:rPr>
          <w:rFonts w:ascii="Times New Roman" w:hAnsi="Times New Roman"/>
          <w:sz w:val="24"/>
          <w:szCs w:val="24"/>
        </w:rPr>
        <w:t>.</w:t>
      </w:r>
    </w:p>
    <w:p w:rsidR="00C85E58" w:rsidRPr="003A7BF3" w:rsidRDefault="00C85E58" w:rsidP="00C85E58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86405" cy="3044190"/>
            <wp:effectExtent l="1905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58" w:rsidRPr="00F40C6B" w:rsidRDefault="00C85E58" w:rsidP="00C85E58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Pr="00F40C6B">
        <w:rPr>
          <w:rFonts w:ascii="Times New Roman" w:hAnsi="Times New Roman"/>
          <w:sz w:val="24"/>
          <w:szCs w:val="24"/>
        </w:rPr>
        <w:t xml:space="preserve"> </w:t>
      </w:r>
      <w:r w:rsidRPr="00C85E58">
        <w:rPr>
          <w:rFonts w:ascii="Times New Roman" w:hAnsi="Times New Roman"/>
          <w:sz w:val="24"/>
          <w:szCs w:val="24"/>
        </w:rPr>
        <w:t>5.4</w:t>
      </w:r>
      <w:r w:rsidRPr="00F40C6B">
        <w:rPr>
          <w:rFonts w:ascii="Times New Roman" w:hAnsi="Times New Roman"/>
          <w:sz w:val="24"/>
          <w:szCs w:val="24"/>
        </w:rPr>
        <w:t>. Расположение светильников общей искусственной системы освещения</w:t>
      </w:r>
    </w:p>
    <w:p w:rsidR="00C85E58" w:rsidRPr="00C85E58" w:rsidRDefault="00C85E58" w:rsidP="00C85E58">
      <w:pPr>
        <w:rPr>
          <w:rFonts w:ascii="Times New Roman" w:hAnsi="Times New Roman"/>
          <w:b/>
          <w:bCs/>
          <w:sz w:val="24"/>
          <w:szCs w:val="24"/>
        </w:rPr>
      </w:pPr>
      <w:r w:rsidRPr="00C85E58">
        <w:rPr>
          <w:rFonts w:ascii="Times New Roman" w:hAnsi="Times New Roman"/>
          <w:b/>
          <w:bCs/>
          <w:sz w:val="24"/>
          <w:szCs w:val="24"/>
        </w:rPr>
        <w:t xml:space="preserve">5.2.2.2. </w:t>
      </w:r>
      <w:r>
        <w:rPr>
          <w:rFonts w:ascii="Times New Roman" w:hAnsi="Times New Roman"/>
          <w:b/>
          <w:bCs/>
          <w:sz w:val="24"/>
          <w:szCs w:val="24"/>
        </w:rPr>
        <w:t>М</w:t>
      </w:r>
      <w:r w:rsidRPr="003A7BF3">
        <w:rPr>
          <w:rFonts w:ascii="Times New Roman" w:hAnsi="Times New Roman"/>
          <w:b/>
          <w:bCs/>
          <w:sz w:val="24"/>
          <w:szCs w:val="24"/>
        </w:rPr>
        <w:t>естно</w:t>
      </w:r>
      <w:r>
        <w:rPr>
          <w:rFonts w:ascii="Times New Roman" w:hAnsi="Times New Roman"/>
          <w:b/>
          <w:bCs/>
          <w:sz w:val="24"/>
          <w:szCs w:val="24"/>
        </w:rPr>
        <w:t>е</w:t>
      </w:r>
      <w:r w:rsidRPr="003A7BF3">
        <w:rPr>
          <w:rFonts w:ascii="Times New Roman" w:hAnsi="Times New Roman"/>
          <w:b/>
          <w:bCs/>
          <w:sz w:val="24"/>
          <w:szCs w:val="24"/>
        </w:rPr>
        <w:t xml:space="preserve"> освещени</w:t>
      </w:r>
      <w:r>
        <w:rPr>
          <w:rFonts w:ascii="Times New Roman" w:hAnsi="Times New Roman"/>
          <w:b/>
          <w:bCs/>
          <w:sz w:val="24"/>
          <w:szCs w:val="24"/>
        </w:rPr>
        <w:t>е</w:t>
      </w:r>
    </w:p>
    <w:p w:rsidR="00C85E58" w:rsidRPr="00125A14" w:rsidRDefault="00C85E58" w:rsidP="00C85E58">
      <w:pPr>
        <w:pStyle w:val="BodyTextIndent2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125A14">
        <w:rPr>
          <w:rFonts w:ascii="Times New Roman" w:hAnsi="Times New Roman"/>
          <w:sz w:val="24"/>
          <w:szCs w:val="24"/>
        </w:rPr>
        <w:lastRenderedPageBreak/>
        <w:t xml:space="preserve">Согласно </w:t>
      </w:r>
      <w:proofErr w:type="spellStart"/>
      <w:r w:rsidRPr="00125A14">
        <w:rPr>
          <w:rFonts w:ascii="Times New Roman" w:hAnsi="Times New Roman"/>
          <w:sz w:val="24"/>
          <w:szCs w:val="24"/>
        </w:rPr>
        <w:t>СНиП</w:t>
      </w:r>
      <w:proofErr w:type="spellEnd"/>
      <w:r w:rsidRPr="00125A14">
        <w:rPr>
          <w:rFonts w:ascii="Times New Roman" w:hAnsi="Times New Roman"/>
          <w:sz w:val="24"/>
          <w:szCs w:val="24"/>
        </w:rPr>
        <w:t xml:space="preserve"> 23-05-95 для местного освещения (в составе комбинированного освещения) следует использовать светильники с </w:t>
      </w:r>
      <w:proofErr w:type="spellStart"/>
      <w:r w:rsidRPr="00125A14">
        <w:rPr>
          <w:rFonts w:ascii="Times New Roman" w:hAnsi="Times New Roman"/>
          <w:sz w:val="24"/>
          <w:szCs w:val="24"/>
        </w:rPr>
        <w:t>непросвечивающимми</w:t>
      </w:r>
      <w:proofErr w:type="spellEnd"/>
      <w:r w:rsidRPr="00125A14">
        <w:rPr>
          <w:rFonts w:ascii="Times New Roman" w:hAnsi="Times New Roman"/>
          <w:sz w:val="24"/>
          <w:szCs w:val="24"/>
        </w:rPr>
        <w:t xml:space="preserve"> отражателями. Светильники местного освещения следует располагать так, чтобы их светящие элементы не попадали прямо в поле зрения работников как </w:t>
      </w:r>
      <w:proofErr w:type="gramStart"/>
      <w:r w:rsidRPr="00125A14">
        <w:rPr>
          <w:rFonts w:ascii="Times New Roman" w:hAnsi="Times New Roman"/>
          <w:sz w:val="24"/>
          <w:szCs w:val="24"/>
        </w:rPr>
        <w:t>данного</w:t>
      </w:r>
      <w:proofErr w:type="gramEnd"/>
      <w:r w:rsidRPr="00125A14">
        <w:rPr>
          <w:rFonts w:ascii="Times New Roman" w:hAnsi="Times New Roman"/>
          <w:sz w:val="24"/>
          <w:szCs w:val="24"/>
        </w:rPr>
        <w:t xml:space="preserve"> так и других рабочих мест. Выражение для освещенности данной точки “</w:t>
      </w:r>
      <w:r w:rsidRPr="00125A14">
        <w:rPr>
          <w:rFonts w:ascii="Times New Roman" w:hAnsi="Times New Roman"/>
          <w:sz w:val="24"/>
          <w:szCs w:val="24"/>
          <w:lang w:val="en-US"/>
        </w:rPr>
        <w:t>a</w:t>
      </w:r>
      <w:r w:rsidRPr="00125A14">
        <w:rPr>
          <w:rFonts w:ascii="Times New Roman" w:hAnsi="Times New Roman"/>
          <w:sz w:val="24"/>
          <w:szCs w:val="24"/>
        </w:rPr>
        <w:t>” поверхности наблюдаемого объекта определяется выражением:</w:t>
      </w:r>
    </w:p>
    <w:p w:rsidR="00C85E58" w:rsidRPr="003A7BF3" w:rsidRDefault="00C85E58" w:rsidP="00C85E5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32"/>
          <w:sz w:val="24"/>
          <w:szCs w:val="24"/>
        </w:rPr>
        <w:object w:dxaOrig="1620" w:dyaOrig="720">
          <v:shape id="_x0000_i1056" type="#_x0000_t75" style="width:81.35pt;height:36.45pt" o:ole="">
            <v:imagedata r:id="rId69" o:title=""/>
          </v:shape>
          <o:OLEObject Type="Embed" ProgID="Equation.3" ShapeID="_x0000_i1056" DrawAspect="Content" ObjectID="_1304460448" r:id="rId70"/>
        </w:object>
      </w:r>
      <w:r w:rsidRPr="003A7BF3">
        <w:rPr>
          <w:rFonts w:ascii="Times New Roman" w:hAnsi="Times New Roman"/>
          <w:sz w:val="24"/>
          <w:szCs w:val="24"/>
        </w:rPr>
        <w:t>.</w:t>
      </w:r>
    </w:p>
    <w:p w:rsidR="00C85E58" w:rsidRPr="003A7BF3" w:rsidRDefault="00C85E58" w:rsidP="00C85E5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Здесь </w:t>
      </w:r>
      <w:r w:rsidRPr="003A7BF3">
        <w:rPr>
          <w:rFonts w:ascii="Times New Roman" w:hAnsi="Times New Roman"/>
          <w:sz w:val="24"/>
          <w:szCs w:val="24"/>
          <w:lang w:val="en-US"/>
        </w:rPr>
        <w:t>J</w:t>
      </w:r>
      <w:proofErr w:type="spellStart"/>
      <w:r w:rsidRPr="003A7BF3">
        <w:rPr>
          <w:rFonts w:ascii="Times New Roman" w:hAnsi="Times New Roman"/>
          <w:sz w:val="24"/>
          <w:szCs w:val="24"/>
          <w:vertAlign w:val="subscript"/>
        </w:rPr>
        <w:t>св</w:t>
      </w:r>
      <w:proofErr w:type="spellEnd"/>
      <w:r w:rsidRPr="003A7BF3">
        <w:rPr>
          <w:rFonts w:ascii="Times New Roman" w:hAnsi="Times New Roman"/>
          <w:sz w:val="24"/>
          <w:szCs w:val="24"/>
        </w:rPr>
        <w:t xml:space="preserve"> – сила света, излучаемого светильником, кд/м</w:t>
      </w:r>
      <w:proofErr w:type="gramStart"/>
      <w:r w:rsidRPr="003A7BF3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; </w:t>
      </w:r>
      <w:r w:rsidRPr="003A7BF3">
        <w:rPr>
          <w:rFonts w:ascii="Times New Roman" w:hAnsi="Times New Roman"/>
          <w:sz w:val="24"/>
          <w:szCs w:val="24"/>
          <w:lang w:val="en-US"/>
        </w:rPr>
        <w:t>l</w:t>
      </w:r>
      <w:proofErr w:type="spellStart"/>
      <w:r w:rsidRPr="003A7BF3">
        <w:rPr>
          <w:rFonts w:ascii="Times New Roman" w:hAnsi="Times New Roman"/>
          <w:sz w:val="24"/>
          <w:szCs w:val="24"/>
          <w:vertAlign w:val="subscript"/>
        </w:rPr>
        <w:t>са</w:t>
      </w:r>
      <w:proofErr w:type="spellEnd"/>
      <w:r w:rsidRPr="003A7BF3">
        <w:rPr>
          <w:rFonts w:ascii="Times New Roman" w:hAnsi="Times New Roman"/>
          <w:sz w:val="24"/>
          <w:szCs w:val="24"/>
        </w:rPr>
        <w:t xml:space="preserve"> – длина пути светового луча от светящего элемента до точки “</w:t>
      </w:r>
      <w:r w:rsidRPr="003A7BF3">
        <w:rPr>
          <w:rFonts w:ascii="Times New Roman" w:hAnsi="Times New Roman"/>
          <w:sz w:val="24"/>
          <w:szCs w:val="24"/>
          <w:lang w:val="en-US"/>
        </w:rPr>
        <w:t>a</w:t>
      </w:r>
      <w:r w:rsidRPr="003A7BF3">
        <w:rPr>
          <w:rFonts w:ascii="Times New Roman" w:hAnsi="Times New Roman"/>
          <w:sz w:val="24"/>
          <w:szCs w:val="24"/>
        </w:rPr>
        <w:t xml:space="preserve">” наблюдаемого объекта, м; </w:t>
      </w:r>
      <w:r w:rsidRPr="003A7BF3">
        <w:rPr>
          <w:rFonts w:ascii="Times New Roman" w:hAnsi="Times New Roman"/>
          <w:position w:val="-12"/>
          <w:sz w:val="24"/>
          <w:szCs w:val="24"/>
        </w:rPr>
        <w:object w:dxaOrig="340" w:dyaOrig="360">
          <v:shape id="_x0000_i1057" type="#_x0000_t75" style="width:16.85pt;height:17.75pt" o:ole="">
            <v:imagedata r:id="rId71" o:title=""/>
          </v:shape>
          <o:OLEObject Type="Embed" ProgID="Equation.3" ShapeID="_x0000_i1057" DrawAspect="Content" ObjectID="_1304460449" r:id="rId72"/>
        </w:object>
      </w:r>
      <w:r w:rsidRPr="003A7BF3">
        <w:rPr>
          <w:rFonts w:ascii="Times New Roman" w:hAnsi="Times New Roman"/>
          <w:sz w:val="24"/>
          <w:szCs w:val="24"/>
        </w:rPr>
        <w:t>- угол, образуемый световым лучом в направлении от светящего элемента к точке “</w:t>
      </w:r>
      <w:r w:rsidRPr="003A7BF3">
        <w:rPr>
          <w:rFonts w:ascii="Times New Roman" w:hAnsi="Times New Roman"/>
          <w:sz w:val="24"/>
          <w:szCs w:val="24"/>
          <w:lang w:val="en-US"/>
        </w:rPr>
        <w:t>a</w:t>
      </w:r>
      <w:r w:rsidRPr="003A7BF3">
        <w:rPr>
          <w:rFonts w:ascii="Times New Roman" w:hAnsi="Times New Roman"/>
          <w:sz w:val="24"/>
          <w:szCs w:val="24"/>
        </w:rPr>
        <w:t>” и нормалью к наблюдаемой поверхности в точке “</w:t>
      </w:r>
      <w:r w:rsidRPr="003A7BF3">
        <w:rPr>
          <w:rFonts w:ascii="Times New Roman" w:hAnsi="Times New Roman"/>
          <w:sz w:val="24"/>
          <w:szCs w:val="24"/>
          <w:lang w:val="en-US"/>
        </w:rPr>
        <w:t>a</w:t>
      </w:r>
      <w:r w:rsidRPr="003A7BF3">
        <w:rPr>
          <w:rFonts w:ascii="Times New Roman" w:hAnsi="Times New Roman"/>
          <w:sz w:val="24"/>
          <w:szCs w:val="24"/>
        </w:rPr>
        <w:t xml:space="preserve">”, рад. Расположение светильника на рабочем месте в общем случае показано на рис. </w:t>
      </w:r>
      <w:r w:rsidRPr="00D03C83">
        <w:rPr>
          <w:rFonts w:ascii="Times New Roman" w:hAnsi="Times New Roman"/>
          <w:sz w:val="24"/>
          <w:szCs w:val="24"/>
        </w:rPr>
        <w:t>5.5</w:t>
      </w:r>
      <w:r w:rsidRPr="003A7BF3">
        <w:rPr>
          <w:rFonts w:ascii="Times New Roman" w:hAnsi="Times New Roman"/>
          <w:sz w:val="24"/>
          <w:szCs w:val="24"/>
        </w:rPr>
        <w:t xml:space="preserve">. </w:t>
      </w:r>
    </w:p>
    <w:p w:rsidR="00C85E58" w:rsidRPr="003A7BF3" w:rsidRDefault="00C85E58" w:rsidP="00C85E58">
      <w:pPr>
        <w:jc w:val="center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object w:dxaOrig="10170" w:dyaOrig="11940">
          <v:shape id="_x0000_i1058" type="#_x0000_t75" style="width:299.2pt;height:377.75pt" o:ole="">
            <v:imagedata r:id="rId73" o:title=""/>
          </v:shape>
          <o:OLEObject Type="Embed" ProgID="Word.Picture.8" ShapeID="_x0000_i1058" DrawAspect="Content" ObjectID="_1304460450" r:id="rId74"/>
        </w:object>
      </w:r>
    </w:p>
    <w:p w:rsidR="00C85E58" w:rsidRPr="003A7BF3" w:rsidRDefault="00C85E58" w:rsidP="00C85E58">
      <w:pPr>
        <w:jc w:val="center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Рис. </w:t>
      </w:r>
      <w:r w:rsidRPr="00FE46A8">
        <w:rPr>
          <w:rFonts w:ascii="Times New Roman" w:hAnsi="Times New Roman"/>
          <w:sz w:val="24"/>
          <w:szCs w:val="24"/>
        </w:rPr>
        <w:t>5.5.</w:t>
      </w:r>
      <w:r w:rsidRPr="003A7BF3">
        <w:rPr>
          <w:rFonts w:ascii="Times New Roman" w:hAnsi="Times New Roman"/>
          <w:sz w:val="24"/>
          <w:szCs w:val="24"/>
        </w:rPr>
        <w:t xml:space="preserve"> Схема расположения светильника на рабочем месте</w:t>
      </w:r>
    </w:p>
    <w:p w:rsidR="00C85E58" w:rsidRPr="003A7BF3" w:rsidRDefault="00C85E58" w:rsidP="00C85E5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Светильник имеет следующие параметры:</w:t>
      </w:r>
    </w:p>
    <w:p w:rsidR="00C85E58" w:rsidRPr="003A7BF3" w:rsidRDefault="00C85E58" w:rsidP="00C85E5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lastRenderedPageBreak/>
        <w:t xml:space="preserve">Коэффициент отражения отражающей поверхности отражателя светильника </w:t>
      </w:r>
      <w:r w:rsidRPr="003A7BF3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059" type="#_x0000_t75" style="width:45.8pt;height:17.75pt" o:ole="">
            <v:imagedata r:id="rId75" o:title=""/>
          </v:shape>
          <o:OLEObject Type="Embed" ProgID="Equation.3" ShapeID="_x0000_i1059" DrawAspect="Content" ObjectID="_1304460451" r:id="rId76"/>
        </w:object>
      </w:r>
    </w:p>
    <w:p w:rsidR="00C85E58" w:rsidRPr="003A7BF3" w:rsidRDefault="00C85E58" w:rsidP="00C85E5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Коэффициент, определяющий отношение отражающей поверхности рефлектора светильника к его полной поверхности </w:t>
      </w:r>
      <w:r w:rsidRPr="003A7BF3">
        <w:rPr>
          <w:rFonts w:ascii="Times New Roman" w:hAnsi="Times New Roman"/>
          <w:position w:val="-12"/>
          <w:sz w:val="24"/>
          <w:szCs w:val="24"/>
        </w:rPr>
        <w:object w:dxaOrig="940" w:dyaOrig="360">
          <v:shape id="_x0000_i1060" type="#_x0000_t75" style="width:46.75pt;height:17.75pt" o:ole="">
            <v:imagedata r:id="rId77" o:title=""/>
          </v:shape>
          <o:OLEObject Type="Embed" ProgID="Equation.3" ShapeID="_x0000_i1060" DrawAspect="Content" ObjectID="_1304460452" r:id="rId78"/>
        </w:object>
      </w:r>
    </w:p>
    <w:p w:rsidR="00C85E58" w:rsidRPr="003A7BF3" w:rsidRDefault="00C85E58" w:rsidP="00C85E5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Диаметр светильника </w:t>
      </w:r>
      <w:r w:rsidRPr="003A7BF3">
        <w:rPr>
          <w:rFonts w:ascii="Times New Roman" w:hAnsi="Times New Roman"/>
          <w:position w:val="-12"/>
          <w:sz w:val="24"/>
          <w:szCs w:val="24"/>
        </w:rPr>
        <w:object w:dxaOrig="1240" w:dyaOrig="360">
          <v:shape id="_x0000_i1061" type="#_x0000_t75" style="width:61.7pt;height:17.75pt" o:ole="">
            <v:imagedata r:id="rId79" o:title=""/>
          </v:shape>
          <o:OLEObject Type="Embed" ProgID="Equation.3" ShapeID="_x0000_i1061" DrawAspect="Content" ObjectID="_1304460453" r:id="rId80"/>
        </w:object>
      </w:r>
    </w:p>
    <w:p w:rsidR="00C85E58" w:rsidRPr="003A7BF3" w:rsidRDefault="00C85E58" w:rsidP="00C85E5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Высота расположения центра светящейся поверхности лампы относительно нижнего среза светильника </w:t>
      </w:r>
      <w:r w:rsidRPr="003A7BF3">
        <w:rPr>
          <w:rFonts w:ascii="Times New Roman" w:hAnsi="Times New Roman"/>
          <w:position w:val="-12"/>
          <w:sz w:val="24"/>
          <w:szCs w:val="24"/>
        </w:rPr>
        <w:object w:dxaOrig="1140" w:dyaOrig="360">
          <v:shape id="_x0000_i1062" type="#_x0000_t75" style="width:57.05pt;height:17.75pt" o:ole="">
            <v:imagedata r:id="rId81" o:title=""/>
          </v:shape>
          <o:OLEObject Type="Embed" ProgID="Equation.3" ShapeID="_x0000_i1062" DrawAspect="Content" ObjectID="_1304460454" r:id="rId82"/>
        </w:object>
      </w:r>
    </w:p>
    <w:p w:rsidR="00C85E58" w:rsidRPr="003A7BF3" w:rsidRDefault="00C85E58" w:rsidP="00C85E5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В точке “</w:t>
      </w:r>
      <w:r w:rsidRPr="003A7BF3">
        <w:rPr>
          <w:rFonts w:ascii="Times New Roman" w:hAnsi="Times New Roman"/>
          <w:sz w:val="24"/>
          <w:szCs w:val="24"/>
          <w:lang w:val="en-US"/>
        </w:rPr>
        <w:t>a</w:t>
      </w:r>
      <w:r w:rsidRPr="003A7BF3">
        <w:rPr>
          <w:rFonts w:ascii="Times New Roman" w:hAnsi="Times New Roman"/>
          <w:sz w:val="24"/>
          <w:szCs w:val="24"/>
        </w:rPr>
        <w:t>” светильник местного освещения должен создавать освещенность, равную нормативному значению для местного освещения</w:t>
      </w:r>
      <w:r>
        <w:rPr>
          <w:rFonts w:ascii="Times New Roman" w:hAnsi="Times New Roman"/>
          <w:sz w:val="24"/>
          <w:szCs w:val="24"/>
        </w:rPr>
        <w:t>.</w:t>
      </w:r>
      <w:r w:rsidRPr="003A7B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3A7BF3">
        <w:rPr>
          <w:rFonts w:ascii="Times New Roman" w:hAnsi="Times New Roman"/>
          <w:sz w:val="24"/>
          <w:szCs w:val="24"/>
        </w:rPr>
        <w:t xml:space="preserve"> случае</w:t>
      </w:r>
      <w:r>
        <w:rPr>
          <w:rFonts w:ascii="Times New Roman" w:hAnsi="Times New Roman"/>
          <w:sz w:val="24"/>
          <w:szCs w:val="24"/>
        </w:rPr>
        <w:t xml:space="preserve"> применения местного освещения в составе системы комбинированного освещения для</w:t>
      </w:r>
      <w:r w:rsidRPr="003A7BF3">
        <w:rPr>
          <w:rFonts w:ascii="Times New Roman" w:hAnsi="Times New Roman"/>
          <w:sz w:val="24"/>
          <w:szCs w:val="24"/>
        </w:rPr>
        <w:t xml:space="preserve"> работы с ЭВМ </w:t>
      </w:r>
      <w:r>
        <w:rPr>
          <w:rFonts w:ascii="Times New Roman" w:hAnsi="Times New Roman"/>
          <w:sz w:val="24"/>
          <w:szCs w:val="24"/>
        </w:rPr>
        <w:t>уровень освещённости рабочего места должен составлять 1000лк</w:t>
      </w:r>
      <w:r w:rsidRPr="003A7BF3">
        <w:rPr>
          <w:rFonts w:ascii="Times New Roman" w:hAnsi="Times New Roman"/>
          <w:sz w:val="24"/>
          <w:szCs w:val="24"/>
        </w:rPr>
        <w:t xml:space="preserve"> с отклонением в пределах (–10%) -  (+20%). </w:t>
      </w:r>
      <w:r>
        <w:rPr>
          <w:rFonts w:ascii="Times New Roman" w:hAnsi="Times New Roman"/>
          <w:sz w:val="24"/>
          <w:szCs w:val="24"/>
        </w:rPr>
        <w:t>Таким образом, уровень освещённости, создаваемый светильником должен быть равен 700лм.</w:t>
      </w:r>
    </w:p>
    <w:p w:rsidR="00C85E58" w:rsidRPr="003A7BF3" w:rsidRDefault="00C85E58" w:rsidP="00C85E58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>Определим силу света, требуемую от светильника местного освещения:</w:t>
      </w:r>
    </w:p>
    <w:p w:rsidR="00C85E58" w:rsidRPr="003A7BF3" w:rsidRDefault="00C85E58" w:rsidP="00C85E58">
      <w:pPr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98"/>
          <w:sz w:val="24"/>
          <w:szCs w:val="24"/>
        </w:rPr>
        <w:object w:dxaOrig="5720" w:dyaOrig="2079">
          <v:shape id="_x0000_i1063" type="#_x0000_t75" style="width:286.15pt;height:103.8pt" o:ole="">
            <v:imagedata r:id="rId83" o:title=""/>
          </v:shape>
          <o:OLEObject Type="Embed" ProgID="Equation.3" ShapeID="_x0000_i1063" DrawAspect="Content" ObjectID="_1304460455" r:id="rId84"/>
        </w:object>
      </w:r>
    </w:p>
    <w:p w:rsidR="00C85E58" w:rsidRPr="003A7BF3" w:rsidRDefault="00C85E58" w:rsidP="00C85E58">
      <w:pPr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position w:val="-80"/>
          <w:sz w:val="24"/>
          <w:szCs w:val="24"/>
        </w:rPr>
        <w:object w:dxaOrig="5880" w:dyaOrig="1719">
          <v:shape id="_x0000_i1064" type="#_x0000_t75" style="width:293.6pt;height:86.05pt" o:ole="">
            <v:imagedata r:id="rId85" o:title=""/>
          </v:shape>
          <o:OLEObject Type="Embed" ProgID="Equation.3" ShapeID="_x0000_i1064" DrawAspect="Content" ObjectID="_1304460456" r:id="rId86"/>
        </w:object>
      </w:r>
    </w:p>
    <w:p w:rsidR="00C85E58" w:rsidRPr="003A7BF3" w:rsidRDefault="00C85E58" w:rsidP="00C85E5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 xml:space="preserve">Для данного значения светового потока можно выбрать лампу накаливания мощностью </w:t>
      </w:r>
      <w:r>
        <w:rPr>
          <w:rFonts w:ascii="Times New Roman" w:hAnsi="Times New Roman"/>
          <w:sz w:val="24"/>
          <w:szCs w:val="24"/>
        </w:rPr>
        <w:t>80</w:t>
      </w:r>
      <w:r w:rsidRPr="003A7BF3">
        <w:rPr>
          <w:rFonts w:ascii="Times New Roman" w:hAnsi="Times New Roman"/>
          <w:sz w:val="24"/>
          <w:szCs w:val="24"/>
        </w:rPr>
        <w:t xml:space="preserve"> Вт. Для изменения уровня освещенности рабочего места от лампы местного </w:t>
      </w:r>
      <w:proofErr w:type="gramStart"/>
      <w:r w:rsidRPr="003A7BF3">
        <w:rPr>
          <w:rFonts w:ascii="Times New Roman" w:hAnsi="Times New Roman"/>
          <w:sz w:val="24"/>
          <w:szCs w:val="24"/>
        </w:rPr>
        <w:t>освещения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 возможно изменить ориентацию светильника. Предусматривается использование светильников с возможностью регулирования яркости, либо отдельных устрой</w:t>
      </w:r>
      <w:proofErr w:type="gramStart"/>
      <w:r w:rsidRPr="003A7BF3">
        <w:rPr>
          <w:rFonts w:ascii="Times New Roman" w:hAnsi="Times New Roman"/>
          <w:sz w:val="24"/>
          <w:szCs w:val="24"/>
        </w:rPr>
        <w:t>ств дл</w:t>
      </w:r>
      <w:proofErr w:type="gramEnd"/>
      <w:r w:rsidRPr="003A7BF3">
        <w:rPr>
          <w:rFonts w:ascii="Times New Roman" w:hAnsi="Times New Roman"/>
          <w:sz w:val="24"/>
          <w:szCs w:val="24"/>
        </w:rPr>
        <w:t xml:space="preserve">я обеспечения такого регулирования. </w:t>
      </w:r>
    </w:p>
    <w:p w:rsidR="00C85E58" w:rsidRDefault="00C85E58" w:rsidP="00C85E5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ab/>
        <w:t xml:space="preserve">Суммарный уровень освещённости рабочего места равен сумме отдельных составляющих: уровень освещённости от естественного освещения, искусственного общего и местного освещений. </w:t>
      </w:r>
    </w:p>
    <w:p w:rsidR="00C85E58" w:rsidRPr="003A7BF3" w:rsidRDefault="00C85E58" w:rsidP="00C85E58">
      <w:pPr>
        <w:spacing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tab/>
      </w:r>
      <w:r w:rsidRPr="003A7BF3">
        <w:rPr>
          <w:rFonts w:ascii="Times New Roman" w:hAnsi="Times New Roman"/>
          <w:position w:val="-14"/>
          <w:sz w:val="24"/>
          <w:szCs w:val="24"/>
        </w:rPr>
        <w:object w:dxaOrig="2280" w:dyaOrig="380">
          <v:shape id="_x0000_i1065" type="#_x0000_t75" style="width:114.1pt;height:18.7pt" o:ole="">
            <v:imagedata r:id="rId87" o:title=""/>
          </v:shape>
          <o:OLEObject Type="Embed" ProgID="Equation.3" ShapeID="_x0000_i1065" DrawAspect="Content" ObjectID="_1304460457" r:id="rId88"/>
        </w:object>
      </w:r>
    </w:p>
    <w:p w:rsidR="00C85E58" w:rsidRPr="003A7BF3" w:rsidRDefault="00C85E58" w:rsidP="00C85E5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A7BF3">
        <w:rPr>
          <w:rFonts w:ascii="Times New Roman" w:hAnsi="Times New Roman"/>
          <w:sz w:val="24"/>
          <w:szCs w:val="24"/>
        </w:rPr>
        <w:lastRenderedPageBreak/>
        <w:tab/>
        <w:t xml:space="preserve">Спроектированная система освещения позволит всегда получать на рабочем месте уровень освещенности в пределах нормативного. </w:t>
      </w:r>
    </w:p>
    <w:p w:rsidR="0075357B" w:rsidRDefault="0075357B"/>
    <w:sectPr w:rsidR="0075357B" w:rsidSect="0075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BE2"/>
    <w:multiLevelType w:val="hybridMultilevel"/>
    <w:tmpl w:val="0FE4DE9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0576775"/>
    <w:multiLevelType w:val="hybridMultilevel"/>
    <w:tmpl w:val="758AC3B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2F7A2687"/>
    <w:multiLevelType w:val="hybridMultilevel"/>
    <w:tmpl w:val="7B943E6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EC71559"/>
    <w:multiLevelType w:val="multilevel"/>
    <w:tmpl w:val="9B522F46"/>
    <w:lvl w:ilvl="0">
      <w:start w:val="1"/>
      <w:numFmt w:val="decimal"/>
      <w:pStyle w:val="DecimalAligned"/>
      <w:suff w:val="space"/>
      <w:lvlText w:val="%1."/>
      <w:lvlJc w:val="center"/>
      <w:pPr>
        <w:ind w:left="360" w:hanging="72"/>
      </w:pPr>
      <w:rPr>
        <w:rFonts w:hint="default"/>
        <w:b w:val="0"/>
        <w:i w:val="0"/>
        <w:sz w:val="36"/>
      </w:rPr>
    </w:lvl>
    <w:lvl w:ilvl="1">
      <w:start w:val="1"/>
      <w:numFmt w:val="decimal"/>
      <w:suff w:val="space"/>
      <w:lvlText w:val="%1.%2."/>
      <w:lvlJc w:val="center"/>
      <w:pPr>
        <w:ind w:left="54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224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1274" w:hanging="127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4">
    <w:nsid w:val="52455B04"/>
    <w:multiLevelType w:val="hybridMultilevel"/>
    <w:tmpl w:val="CE8ED714"/>
    <w:lvl w:ilvl="0" w:tplc="04190001">
      <w:start w:val="1"/>
      <w:numFmt w:val="decimal"/>
      <w:lvlText w:val="%1."/>
      <w:lvlJc w:val="left"/>
      <w:pPr>
        <w:ind w:left="1429" w:hanging="360"/>
      </w:p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3D302C5"/>
    <w:multiLevelType w:val="hybridMultilevel"/>
    <w:tmpl w:val="C27A47CE"/>
    <w:lvl w:ilvl="0" w:tplc="ABEAD0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30E4A4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53A0F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A223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7670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2D69D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8E456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FB020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61AA5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8510B62"/>
    <w:multiLevelType w:val="hybridMultilevel"/>
    <w:tmpl w:val="BE680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characterSpacingControl w:val="doNotCompress"/>
  <w:compat/>
  <w:rsids>
    <w:rsidRoot w:val="00C85E58"/>
    <w:rsid w:val="005C50F7"/>
    <w:rsid w:val="0075357B"/>
    <w:rsid w:val="00C8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58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85E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5E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C85E5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E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C85E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85E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qFormat/>
    <w:rsid w:val="00C85E58"/>
    <w:rPr>
      <w:b/>
      <w:bCs/>
    </w:rPr>
  </w:style>
  <w:style w:type="paragraph" w:customStyle="1" w:styleId="DecimalAligned">
    <w:name w:val="Decimal Aligned"/>
    <w:basedOn w:val="Normal"/>
    <w:qFormat/>
    <w:rsid w:val="00C85E58"/>
    <w:pPr>
      <w:numPr>
        <w:numId w:val="2"/>
      </w:numPr>
      <w:tabs>
        <w:tab w:val="decimal" w:pos="360"/>
      </w:tabs>
      <w:ind w:left="0" w:firstLine="0"/>
    </w:pPr>
    <w:rPr>
      <w:lang w:eastAsia="en-US"/>
    </w:rPr>
  </w:style>
  <w:style w:type="paragraph" w:styleId="Caption">
    <w:name w:val="caption"/>
    <w:basedOn w:val="Normal"/>
    <w:next w:val="Normal"/>
    <w:autoRedefine/>
    <w:qFormat/>
    <w:rsid w:val="00C85E58"/>
    <w:pPr>
      <w:spacing w:before="360" w:after="120" w:line="240" w:lineRule="auto"/>
    </w:pPr>
    <w:rPr>
      <w:rFonts w:ascii="Times New Roman" w:hAnsi="Times New Roman"/>
      <w:bCs/>
      <w:sz w:val="24"/>
      <w:szCs w:val="20"/>
    </w:rPr>
  </w:style>
  <w:style w:type="paragraph" w:styleId="BodyText">
    <w:name w:val="Body Text"/>
    <w:basedOn w:val="Normal"/>
    <w:link w:val="BodyTextChar"/>
    <w:rsid w:val="00C85E58"/>
    <w:pPr>
      <w:numPr>
        <w:numId w:val="12"/>
      </w:numPr>
      <w:spacing w:after="0" w:line="360" w:lineRule="auto"/>
    </w:pPr>
    <w:rPr>
      <w:rFonts w:ascii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85E5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W">
    <w:name w:val="WПодзаголовок Знак"/>
    <w:basedOn w:val="Heading2"/>
    <w:next w:val="Normal"/>
    <w:link w:val="W0"/>
    <w:autoRedefine/>
    <w:rsid w:val="00C85E58"/>
    <w:pPr>
      <w:spacing w:before="100" w:beforeAutospacing="1" w:after="120" w:line="240" w:lineRule="auto"/>
    </w:pPr>
    <w:rPr>
      <w:rFonts w:ascii="Times New Roman" w:hAnsi="Times New Roman" w:cs="Times New Roman"/>
      <w:i w:val="0"/>
      <w:iCs w:val="0"/>
      <w:sz w:val="32"/>
      <w:szCs w:val="32"/>
    </w:rPr>
  </w:style>
  <w:style w:type="character" w:customStyle="1" w:styleId="W0">
    <w:name w:val="WПодзаголовок Знак Знак"/>
    <w:basedOn w:val="DefaultParagraphFont"/>
    <w:link w:val="W"/>
    <w:rsid w:val="00C85E5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W1">
    <w:name w:val="WОсновной текст Знак Знак Знак"/>
    <w:basedOn w:val="DefaultParagraphFont"/>
    <w:link w:val="W2"/>
    <w:rsid w:val="00C85E58"/>
    <w:rPr>
      <w:sz w:val="24"/>
      <w:szCs w:val="24"/>
      <w:lang w:eastAsia="ru-RU"/>
    </w:rPr>
  </w:style>
  <w:style w:type="paragraph" w:customStyle="1" w:styleId="W2">
    <w:name w:val="WОсновной текст Знак Знак"/>
    <w:basedOn w:val="Normal"/>
    <w:link w:val="W1"/>
    <w:autoRedefine/>
    <w:rsid w:val="00C85E58"/>
    <w:pPr>
      <w:spacing w:after="0" w:line="360" w:lineRule="auto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W20">
    <w:name w:val="WПодзаголовок2 Знак"/>
    <w:basedOn w:val="W"/>
    <w:next w:val="Normal"/>
    <w:link w:val="W21"/>
    <w:rsid w:val="00C85E58"/>
    <w:pPr>
      <w:spacing w:before="160" w:after="40"/>
      <w:outlineLvl w:val="2"/>
    </w:pPr>
    <w:rPr>
      <w:sz w:val="28"/>
    </w:rPr>
  </w:style>
  <w:style w:type="character" w:customStyle="1" w:styleId="W21">
    <w:name w:val="WПодзаголовок2 Знак Знак"/>
    <w:basedOn w:val="W0"/>
    <w:link w:val="W20"/>
    <w:rsid w:val="00C85E58"/>
    <w:rPr>
      <w:sz w:val="28"/>
    </w:rPr>
  </w:style>
  <w:style w:type="paragraph" w:customStyle="1" w:styleId="Li">
    <w:name w:val="Li_Основной Знак Знак"/>
    <w:basedOn w:val="BodyText"/>
    <w:link w:val="Li0"/>
    <w:rsid w:val="00C85E58"/>
    <w:pPr>
      <w:ind w:firstLine="900"/>
    </w:pPr>
  </w:style>
  <w:style w:type="character" w:customStyle="1" w:styleId="Li0">
    <w:name w:val="Li_Основной Знак Знак Знак"/>
    <w:basedOn w:val="BodyTextChar"/>
    <w:link w:val="Li"/>
    <w:rsid w:val="00C85E58"/>
  </w:style>
  <w:style w:type="paragraph" w:styleId="BodyTextIndent">
    <w:name w:val="Body Text Indent"/>
    <w:basedOn w:val="Normal"/>
    <w:link w:val="BodyTextIndentChar"/>
    <w:rsid w:val="00C85E58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5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TML1">
    <w:name w:val="Стандартный HTML1"/>
    <w:basedOn w:val="Normal"/>
    <w:rsid w:val="00C8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Arial Unicode MS" w:eastAsia="Arial Unicode MS" w:hAnsi="Arial Unicode MS"/>
      <w:sz w:val="20"/>
      <w:szCs w:val="20"/>
    </w:rPr>
  </w:style>
  <w:style w:type="paragraph" w:customStyle="1" w:styleId="Li1">
    <w:name w:val="Li_Основной Знак"/>
    <w:basedOn w:val="BodyText"/>
    <w:rsid w:val="00C85E58"/>
    <w:pPr>
      <w:widowControl w:val="0"/>
      <w:autoSpaceDE w:val="0"/>
      <w:autoSpaceDN w:val="0"/>
      <w:adjustRightInd w:val="0"/>
      <w:ind w:firstLine="900"/>
      <w:jc w:val="both"/>
    </w:pPr>
  </w:style>
  <w:style w:type="paragraph" w:customStyle="1" w:styleId="Normal11pt">
    <w:name w:val="Normal + 11 pt"/>
    <w:aliases w:val="Black,Expanded by  0,1 pt + Первая строка:  1,27 см + Черный +..."/>
    <w:basedOn w:val="BodyText"/>
    <w:link w:val="Normal11ptBlackExpandedby01pt127"/>
    <w:rsid w:val="00C85E58"/>
    <w:pPr>
      <w:numPr>
        <w:numId w:val="0"/>
      </w:numPr>
      <w:suppressAutoHyphens/>
      <w:ind w:firstLine="709"/>
      <w:jc w:val="both"/>
    </w:pPr>
    <w:rPr>
      <w:sz w:val="22"/>
      <w:szCs w:val="22"/>
    </w:rPr>
  </w:style>
  <w:style w:type="character" w:customStyle="1" w:styleId="Normal11ptBlackExpandedby01pt127">
    <w:name w:val="Normal + 11 pt;Black;Expanded by  0;1 pt + Первая строка:  1;27 см + Черный +... Знак Знак"/>
    <w:basedOn w:val="BodyTextChar"/>
    <w:link w:val="Normal11pt"/>
    <w:rsid w:val="00C85E58"/>
  </w:style>
  <w:style w:type="paragraph" w:styleId="BodyTextIndent2">
    <w:name w:val="Body Text Indent 2"/>
    <w:basedOn w:val="Normal"/>
    <w:link w:val="BodyTextIndent2Char"/>
    <w:rsid w:val="00C85E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85E58"/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png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3657</Words>
  <Characters>20846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dent</cp:lastModifiedBy>
  <cp:revision>1</cp:revision>
  <dcterms:created xsi:type="dcterms:W3CDTF">2009-05-21T21:02:00Z</dcterms:created>
  <dcterms:modified xsi:type="dcterms:W3CDTF">2009-05-21T21:20:00Z</dcterms:modified>
</cp:coreProperties>
</file>