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8B762" w14:textId="14DAD20B" w:rsidR="00095D1D" w:rsidRDefault="00095D1D" w:rsidP="00095D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right="-330"/>
        <w:rPr>
          <w:rFonts w:ascii="Helvetica" w:hAnsi="Helvetica" w:cs="Helvetica"/>
          <w:kern w:val="0"/>
        </w:rPr>
      </w:pPr>
      <w:r>
        <w:rPr>
          <w:rFonts w:ascii="Helvetica" w:hAnsi="Helvetica" w:cs="Helvetica"/>
          <w:b/>
          <w:bCs/>
          <w:kern w:val="0"/>
        </w:rPr>
        <w:t xml:space="preserve">Comments </w:t>
      </w:r>
      <w:r>
        <w:rPr>
          <w:rFonts w:ascii="Helvetica" w:hAnsi="Helvetica" w:cs="Helvetica"/>
          <w:kern w:val="0"/>
        </w:rPr>
        <w:t xml:space="preserve">Overall a very good achievement (Upper Second Class, mark 63). There is evidence of appropriate reading. While some broader issues are identified, these are based on recounting arguments from the readings. Instead of trying to comprehensively cover the topics identified in class, the essay </w:t>
      </w:r>
      <w:proofErr w:type="gramStart"/>
      <w:r>
        <w:rPr>
          <w:rFonts w:ascii="Helvetica" w:hAnsi="Helvetica" w:cs="Helvetica"/>
          <w:kern w:val="0"/>
        </w:rPr>
        <w:t>would  have</w:t>
      </w:r>
      <w:proofErr w:type="gramEnd"/>
      <w:r>
        <w:rPr>
          <w:rFonts w:ascii="Helvetica" w:hAnsi="Helvetica" w:cs="Helvetica"/>
          <w:kern w:val="0"/>
        </w:rPr>
        <w:t xml:space="preserve"> benefitted from drawing more extensively on outside class readings, </w:t>
      </w:r>
      <w:proofErr w:type="gramStart"/>
      <w:r>
        <w:rPr>
          <w:rFonts w:ascii="Helvetica" w:hAnsi="Helvetica" w:cs="Helvetica"/>
          <w:kern w:val="0"/>
        </w:rPr>
        <w:t>especially  in</w:t>
      </w:r>
      <w:proofErr w:type="gramEnd"/>
      <w:r>
        <w:rPr>
          <w:rFonts w:ascii="Helvetica" w:hAnsi="Helvetica" w:cs="Helvetica"/>
          <w:kern w:val="0"/>
        </w:rPr>
        <w:t xml:space="preserve"> identifying a knowledge gap. The research question could be plausible, but no rationale is provided what we would miss if we failed to combine the different theoretical </w:t>
      </w:r>
      <w:proofErr w:type="gramStart"/>
      <w:r>
        <w:rPr>
          <w:rFonts w:ascii="Helvetica" w:hAnsi="Helvetica" w:cs="Helvetica"/>
          <w:kern w:val="0"/>
        </w:rPr>
        <w:t>perspectives  in</w:t>
      </w:r>
      <w:proofErr w:type="gramEnd"/>
      <w:r>
        <w:rPr>
          <w:rFonts w:ascii="Helvetica" w:hAnsi="Helvetica" w:cs="Helvetica"/>
          <w:kern w:val="0"/>
        </w:rPr>
        <w:t xml:space="preserve"> the proposed manner. See annotations below. </w:t>
      </w:r>
    </w:p>
    <w:p w14:paraId="2C3FCA13" w14:textId="77777777" w:rsidR="00095D1D" w:rsidRDefault="00095D1D" w:rsidP="00095D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right="-330"/>
        <w:rPr>
          <w:rFonts w:ascii="Helvetica" w:hAnsi="Helvetica" w:cs="Helvetica"/>
          <w:kern w:val="0"/>
        </w:rPr>
      </w:pPr>
    </w:p>
    <w:p w14:paraId="2637F978" w14:textId="77777777" w:rsidR="00095D1D" w:rsidRDefault="00095D1D" w:rsidP="00095D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right="-330"/>
        <w:rPr>
          <w:rFonts w:ascii="Helvetica" w:hAnsi="Helvetica" w:cs="Helvetica"/>
          <w:kern w:val="0"/>
        </w:rPr>
      </w:pPr>
      <w:r>
        <w:rPr>
          <w:rFonts w:ascii="Helvetica" w:hAnsi="Helvetica" w:cs="Helvetica"/>
          <w:kern w:val="0"/>
        </w:rPr>
        <w:t>Marked in accordance with the Department of Government marking criteria: https://moodle.essex.ac.uk/mod/resource/view.php?id=1403068</w:t>
      </w:r>
    </w:p>
    <w:p w14:paraId="0FB326CB" w14:textId="77777777" w:rsidR="00095D1D" w:rsidRDefault="00095D1D" w:rsidP="00C817E0">
      <w:pPr>
        <w:jc w:val="center"/>
        <w:rPr>
          <w:b/>
          <w:bCs/>
          <w:u w:val="single"/>
        </w:rPr>
      </w:pPr>
    </w:p>
    <w:p w14:paraId="51978F4D" w14:textId="77777777" w:rsidR="00095D1D" w:rsidRDefault="00095D1D" w:rsidP="00C817E0">
      <w:pPr>
        <w:jc w:val="center"/>
        <w:rPr>
          <w:b/>
          <w:bCs/>
          <w:u w:val="single"/>
        </w:rPr>
      </w:pPr>
    </w:p>
    <w:p w14:paraId="0206BA98" w14:textId="66E3F0BE" w:rsidR="005F1604" w:rsidRDefault="00C817E0" w:rsidP="00C817E0">
      <w:pPr>
        <w:jc w:val="center"/>
        <w:rPr>
          <w:b/>
          <w:bCs/>
          <w:u w:val="single"/>
        </w:rPr>
      </w:pPr>
      <w:r w:rsidRPr="00C817E0">
        <w:rPr>
          <w:b/>
          <w:bCs/>
          <w:u w:val="single"/>
        </w:rPr>
        <w:t>Why Anti-Corruption Reforms Fail: Integrating Principal–Agent and Collective-Action Approaches with Evidence from Gendered Accountability and Corruption Cycles</w:t>
      </w:r>
    </w:p>
    <w:p w14:paraId="4268A6D0" w14:textId="77777777" w:rsidR="00C817E0" w:rsidRDefault="00C817E0" w:rsidP="00C817E0">
      <w:pPr>
        <w:jc w:val="center"/>
        <w:rPr>
          <w:b/>
          <w:bCs/>
          <w:u w:val="single"/>
        </w:rPr>
      </w:pPr>
    </w:p>
    <w:p w14:paraId="066281AD" w14:textId="55AA1675" w:rsidR="004B6E35" w:rsidRPr="004B6E35" w:rsidRDefault="004B6E35" w:rsidP="00C817E0">
      <w:pPr>
        <w:rPr>
          <w:b/>
          <w:bCs/>
          <w:u w:val="single"/>
        </w:rPr>
      </w:pPr>
      <w:r w:rsidRPr="004B6E35">
        <w:rPr>
          <w:b/>
          <w:bCs/>
          <w:u w:val="single"/>
        </w:rPr>
        <w:t>1. Introduction</w:t>
      </w:r>
    </w:p>
    <w:p w14:paraId="2EA3D444" w14:textId="77777777" w:rsidR="004B6E35" w:rsidRDefault="004B6E35" w:rsidP="00C817E0"/>
    <w:p w14:paraId="1AF92865" w14:textId="0DBE5564" w:rsidR="00C817E0" w:rsidRDefault="00B46CE7" w:rsidP="00C817E0">
      <w:r>
        <w:t>Global governance reforms have placed a strong emphasis on fighting corruption, yet significant and long-lasting decreases in corrupt behaviours are still difficult to achieve. This ongoing failure raises a theoretical issue that is highlighted in the course's eighth week</w:t>
      </w:r>
      <w:r w:rsidR="004B6E35">
        <w:t xml:space="preserve"> (</w:t>
      </w:r>
      <w:r w:rsidR="004B6E35" w:rsidRPr="004B6E35">
        <w:t>GV307 Week 8 Lecture, 2025</w:t>
      </w:r>
      <w:r w:rsidR="004B6E35">
        <w:t>)</w:t>
      </w:r>
      <w:r>
        <w:t xml:space="preserve">. Conventional analyses usually utilise a principal-agent lens to interpret corruption, suggesting that misconduct happens when bureaucrats or elected officials (agents) abuse their authority while citizens (principals) struggle to monitor and sanction them. According to a contrasting body of research, societies become trapped in collective-action equilibria, which is why corruption persists rather than unilateral incentive failures. People expect others to act corruptly in these settings, which makes maintaining a person's integrity expensive and ineffectual (Persson, Rothstein &amp; </w:t>
      </w:r>
      <w:proofErr w:type="spellStart"/>
      <w:r>
        <w:t>Teorell</w:t>
      </w:r>
      <w:proofErr w:type="spellEnd"/>
      <w:r>
        <w:t xml:space="preserve"> 2013).</w:t>
      </w:r>
    </w:p>
    <w:p w14:paraId="7E6E8532" w14:textId="77777777" w:rsidR="00B46CE7" w:rsidRDefault="00B46CE7" w:rsidP="00C817E0"/>
    <w:p w14:paraId="15F2C6FB" w14:textId="1361969C" w:rsidR="00B46CE7" w:rsidRDefault="00B46CE7" w:rsidP="00C817E0">
      <w:r w:rsidRPr="00B46CE7">
        <w:t xml:space="preserve">This review brings these perspectives together and incorporates emerging empirical work on electoral corruption dynamics (Figueroa 2021) and gendered accountability (Esarey &amp; Schwindt-Bayer 2018). It argues the case that societal norms and institutional incentives are insufficient to explain why corruption is so hard to eradicate. </w:t>
      </w:r>
      <w:commentRangeStart w:id="0"/>
      <w:r w:rsidRPr="00B46CE7">
        <w:t>Instead, corruption persists through interactions between expectations, actor identity, and timing—particularly election periods in which political pressures intensify.</w:t>
      </w:r>
      <w:r>
        <w:t xml:space="preserve"> </w:t>
      </w:r>
      <w:r w:rsidRPr="00B46CE7">
        <w:t>This combined analysis highlights an unresolved issue, which motivates the following research question:</w:t>
      </w:r>
      <w:commentRangeEnd w:id="0"/>
      <w:r w:rsidR="00765EC1">
        <w:rPr>
          <w:rStyle w:val="CommentReference"/>
        </w:rPr>
        <w:commentReference w:id="0"/>
      </w:r>
    </w:p>
    <w:p w14:paraId="0353E182" w14:textId="77777777" w:rsidR="00B46CE7" w:rsidRDefault="00B46CE7" w:rsidP="00C817E0"/>
    <w:p w14:paraId="28514B49" w14:textId="4841FD93" w:rsidR="00B46CE7" w:rsidRPr="004167CE" w:rsidRDefault="00B46CE7" w:rsidP="00C817E0">
      <w:pPr>
        <w:rPr>
          <w:i/>
          <w:iCs/>
        </w:rPr>
      </w:pPr>
      <w:r w:rsidRPr="004167CE">
        <w:rPr>
          <w:i/>
          <w:iCs/>
        </w:rPr>
        <w:t>“How do citizens’ beliefs about the accountability of different types of political actors (such as women vs. men, or incumbents vs. challengers) interact with electoral cycles to reinforce or weaken systemic corruption equilibria?”</w:t>
      </w:r>
    </w:p>
    <w:p w14:paraId="5C9DA8BA" w14:textId="77777777" w:rsidR="00B46CE7" w:rsidRDefault="00B46CE7" w:rsidP="00C817E0"/>
    <w:p w14:paraId="7A14A078" w14:textId="5D31DAD1" w:rsidR="00B46CE7" w:rsidRDefault="00B46CE7" w:rsidP="00C817E0">
      <w:r w:rsidRPr="00B46CE7">
        <w:t>This question links collective expectations, gendered accountability patterns, and the temporal dynamics of corruption, proposing a bridge between theories that rarely communicate with one another despite addressing overlapping mechanisms.</w:t>
      </w:r>
    </w:p>
    <w:p w14:paraId="28ABEA64" w14:textId="77777777" w:rsidR="004B6E35" w:rsidRDefault="004B6E35" w:rsidP="00C817E0"/>
    <w:p w14:paraId="01D1336D" w14:textId="0A6B8D08" w:rsidR="004B6E35" w:rsidRPr="004B6E35" w:rsidRDefault="004B6E35" w:rsidP="00C817E0">
      <w:pPr>
        <w:rPr>
          <w:b/>
          <w:bCs/>
          <w:u w:val="single"/>
        </w:rPr>
      </w:pPr>
      <w:r w:rsidRPr="004B6E35">
        <w:rPr>
          <w:b/>
          <w:bCs/>
          <w:u w:val="single"/>
        </w:rPr>
        <w:t>2. Typologies and Theoretical Foundations of Corruption</w:t>
      </w:r>
    </w:p>
    <w:p w14:paraId="2B6B5A52" w14:textId="77777777" w:rsidR="00B46CE7" w:rsidRDefault="00B46CE7" w:rsidP="00C817E0"/>
    <w:p w14:paraId="12D88382" w14:textId="21B80EE3" w:rsidR="00B46CE7" w:rsidRDefault="004B6E35" w:rsidP="00C817E0">
      <w:r>
        <w:t>Week 8 teaching distinguishes a range of corruption types—petty vs. grand, and administrative vs. political (</w:t>
      </w:r>
      <w:r w:rsidRPr="004B6E35">
        <w:t>GV307 Week 8 Lecture, 2025</w:t>
      </w:r>
      <w:r>
        <w:t xml:space="preserve">). </w:t>
      </w:r>
      <w:r w:rsidRPr="004B6E35">
        <w:t>These distinctions are significant because they highlight several behavioural and institutional factors. Grand corruption usually includes elite-level activities like extensive embezzlement or bribery for policy influence, whereas petty corruption frequently involves regular interactions between citizens and officials. Administrative corruption relates to routine bureaucratic processes; political corruption concerns the abuse of political office for systematic personal or party gain.</w:t>
      </w:r>
    </w:p>
    <w:p w14:paraId="3D6DABB3" w14:textId="77777777" w:rsidR="004B6E35" w:rsidRDefault="004B6E35" w:rsidP="00C817E0"/>
    <w:p w14:paraId="1D48A8BD" w14:textId="603E5E3D" w:rsidR="00B46CE7" w:rsidRDefault="00656EC4" w:rsidP="00656EC4">
      <w:r>
        <w:t xml:space="preserve">According to the traditional conceptualisation, corruption is essentially a delegation failure. This principal–agent model, long dominant in political economy (Rose-Ackerman 1978; Klitgaard 1988), holds that corruption arises when officials possess both discretion and private information, allowing them to exploit their position unless oversight is strong. </w:t>
      </w:r>
      <w:commentRangeStart w:id="1"/>
      <w:r>
        <w:t xml:space="preserve">Week 8 slides explicitly map corruption onto the module’s earlier material on delegation, emphasising that agents may act corruptly when their opportunities are high and sanctions uncertain (GV307 Week 8 Lecture, </w:t>
      </w:r>
      <w:commentRangeEnd w:id="1"/>
      <w:r w:rsidR="00765EC1">
        <w:rPr>
          <w:rStyle w:val="CommentReference"/>
        </w:rPr>
        <w:commentReference w:id="1"/>
      </w:r>
      <w:r>
        <w:t>2025). As a result, anti-corruption tactics based on this paradigm seek to decrease discretion, limit monopoly power, and improve accountability through actions like increased competition, bureaucratic professionalisation, and transparency reforms.</w:t>
      </w:r>
    </w:p>
    <w:p w14:paraId="73D9C8A5" w14:textId="77777777" w:rsidR="00656EC4" w:rsidRDefault="00656EC4" w:rsidP="00656EC4"/>
    <w:p w14:paraId="04ECBAF1" w14:textId="5A901AF1" w:rsidR="00656EC4" w:rsidRDefault="00656EC4" w:rsidP="00656EC4">
      <w:r w:rsidRPr="00656EC4">
        <w:t>Although this framework explains why corruption arises within specific transactions or sectors, it struggles to explain systemically corrupt environments where formal reforms repeatedly fail. The presence of institutional constraints does not always translate into behavioural change, raising doubts about whether misaligned incentives alone account for persistent corruption. This tension motivates the shift toward collective-action interpretations.</w:t>
      </w:r>
    </w:p>
    <w:p w14:paraId="126172EC" w14:textId="77777777" w:rsidR="00656EC4" w:rsidRDefault="00656EC4" w:rsidP="00656EC4"/>
    <w:p w14:paraId="0C5031B2" w14:textId="3F8CCB57" w:rsidR="00656EC4" w:rsidRPr="00656EC4" w:rsidRDefault="00656EC4" w:rsidP="00656EC4">
      <w:pPr>
        <w:rPr>
          <w:b/>
          <w:bCs/>
          <w:u w:val="single"/>
        </w:rPr>
      </w:pPr>
      <w:r w:rsidRPr="00656EC4">
        <w:rPr>
          <w:b/>
          <w:bCs/>
          <w:u w:val="single"/>
        </w:rPr>
        <w:t>3. Collective-Action Models and the Drivers of Systemic Corruption</w:t>
      </w:r>
    </w:p>
    <w:p w14:paraId="732C10D2" w14:textId="77777777" w:rsidR="00656EC4" w:rsidRDefault="00656EC4" w:rsidP="00656EC4"/>
    <w:p w14:paraId="17E3DE1D" w14:textId="4E26C15C" w:rsidR="00656EC4" w:rsidRDefault="00E97843" w:rsidP="00E97843">
      <w:r>
        <w:t xml:space="preserve">Persson, Rothstein and </w:t>
      </w:r>
      <w:proofErr w:type="spellStart"/>
      <w:r>
        <w:t>Teorell</w:t>
      </w:r>
      <w:proofErr w:type="spellEnd"/>
      <w:r>
        <w:t xml:space="preserve"> (2013) challenge the assumption that corruption primarily reflects rogue agents exploiting inattentive principals. Rather, they contend that when societies fall into a collective-action trap, corruption becomes systematic. In certain situations, people may detest corruption but participate in it or tolerate it because they believe others would do the same. Week 8 teaching labels this the “lack of principals” problem—the failure of citizens to act as effective enforcers because they believe corruption is too entrenched for individual resistance to matter (GV307 Week 8 Lecture, 2025).</w:t>
      </w:r>
    </w:p>
    <w:p w14:paraId="6147EBD8" w14:textId="77777777" w:rsidR="00E97843" w:rsidRDefault="00E97843" w:rsidP="00E97843"/>
    <w:p w14:paraId="03057E42" w14:textId="26437722" w:rsidR="00E97843" w:rsidRDefault="00E97843" w:rsidP="00E97843">
      <w:r w:rsidRPr="00E97843">
        <w:t xml:space="preserve">This reasoning explains the frequent underperformance of formal reforms. Transparency laws, anti-corruption commissions, and improved monitoring mechanisms do not change behaviour if they fail to shift collective expectations. People in high-corruption environments believe that authorities will continue to be corrupt despite new regulations, therefore they don't see the need to demand accountability. </w:t>
      </w:r>
      <w:r w:rsidRPr="00E97843">
        <w:lastRenderedPageBreak/>
        <w:t>On the other hand, even little transgressions can cause severe public outrage in civilisations where honesty is required.</w:t>
      </w:r>
    </w:p>
    <w:p w14:paraId="381A1EDE" w14:textId="77777777" w:rsidR="00E97843" w:rsidRDefault="00E97843" w:rsidP="00E97843"/>
    <w:p w14:paraId="0ADF16DE" w14:textId="1D4B36D4" w:rsidR="00E97843" w:rsidRDefault="00E97843" w:rsidP="00E97843">
      <w:r w:rsidRPr="00E97843">
        <w:t xml:space="preserve">This equilibrium-based view is supported by cross-national data. Corruption is consistently low in nations like the Nordic states that have strong social values of justice and great interpersonal trust (Rothstein &amp; </w:t>
      </w:r>
      <w:proofErr w:type="spellStart"/>
      <w:r w:rsidRPr="00E97843">
        <w:t>Uslaner</w:t>
      </w:r>
      <w:proofErr w:type="spellEnd"/>
      <w:r w:rsidRPr="00E97843">
        <w:t xml:space="preserve"> 2005). In contrast, </w:t>
      </w:r>
      <w:commentRangeStart w:id="2"/>
      <w:r w:rsidRPr="00E97843">
        <w:t xml:space="preserve">low-trust societies find it far harder to shift expectations, even when formal institutions improve. </w:t>
      </w:r>
      <w:commentRangeEnd w:id="2"/>
      <w:r w:rsidR="00765EC1">
        <w:rPr>
          <w:rStyle w:val="CommentReference"/>
        </w:rPr>
        <w:commentReference w:id="2"/>
      </w:r>
      <w:r w:rsidRPr="00E97843">
        <w:t>The Week 8 slides emphasises that individuals’ attitudes toward corruption are context-dependent—for instance, people who migrate to low-corruption settings modify their behaviour accordingly (GV307 Week 8 Lecture, 2025).</w:t>
      </w:r>
    </w:p>
    <w:p w14:paraId="67419794" w14:textId="77777777" w:rsidR="00E97843" w:rsidRDefault="00E97843" w:rsidP="00E97843"/>
    <w:p w14:paraId="54C7C49D" w14:textId="73028DFE" w:rsidR="00E97843" w:rsidRDefault="00F81BC2" w:rsidP="00E97843">
      <w:r w:rsidRPr="00F81BC2">
        <w:t xml:space="preserve">Collective-action models therefore offer powerful macro-level insights, highlighting why systemic corruption is self-reinforcing. However, they frequently lack the fine-grained behavioural mechanisms required to explain variance inside democracies, </w:t>
      </w:r>
      <w:r>
        <w:t>where elections, competition, and media exposure interact with belief systems. Recent empirical research on electoral corruption dynamics helps fill this gap.</w:t>
      </w:r>
    </w:p>
    <w:p w14:paraId="73D7D70C" w14:textId="77777777" w:rsidR="00F81BC2" w:rsidRDefault="00F81BC2" w:rsidP="00E97843"/>
    <w:p w14:paraId="562BD172" w14:textId="50C4E679" w:rsidR="00F81BC2" w:rsidRDefault="00F81BC2" w:rsidP="00E97843">
      <w:pPr>
        <w:rPr>
          <w:b/>
          <w:bCs/>
          <w:u w:val="single"/>
        </w:rPr>
      </w:pPr>
      <w:r w:rsidRPr="00F81BC2">
        <w:rPr>
          <w:b/>
          <w:bCs/>
          <w:u w:val="single"/>
        </w:rPr>
        <w:t>4. Corruption in Democracies: Electoral Incentives and Temporal Dynamics</w:t>
      </w:r>
    </w:p>
    <w:p w14:paraId="71E9DF35" w14:textId="77777777" w:rsidR="00F81BC2" w:rsidRDefault="00F81BC2" w:rsidP="00E97843">
      <w:pPr>
        <w:rPr>
          <w:b/>
          <w:bCs/>
          <w:u w:val="single"/>
        </w:rPr>
      </w:pPr>
    </w:p>
    <w:p w14:paraId="08FC7BAB" w14:textId="10873A37" w:rsidR="00F81BC2" w:rsidRDefault="00F81BC2" w:rsidP="00F81BC2">
      <w:r w:rsidRPr="00F81BC2">
        <w:t>Although democratic institutions should, in theory, enhance accountability, Week 8 materials caution that democracy functions as a delegation system vulnerable to corruption when voters struggle to monitor politicians effectively (GV307 Week 8 Lecture, 2025). A growing body of empirical research indicates that democratic competitiveness may lead to time structured corruption, in which wrongdoing increases during specific stages of the political cycle.</w:t>
      </w:r>
    </w:p>
    <w:p w14:paraId="2524FE2B" w14:textId="77777777" w:rsidR="00F81BC2" w:rsidRDefault="00F81BC2" w:rsidP="00F81BC2"/>
    <w:p w14:paraId="4536C2B1" w14:textId="2999E0BB" w:rsidR="00F81BC2" w:rsidRDefault="00F81BC2" w:rsidP="00F81BC2">
      <w:r>
        <w:t>Figueroa's (2021) study on Argentina offers compelling evidence. Using thousands of entries from a chauffeur’s handwritten logs documenting illicit payments to political officials, he observes a clear surge in bribe collection in the months immediately preceding elections. This reveals that campaigns intensify demand for illegal funds, generating cyclical spikes in corrupt activity. Elections provide strong incentives for politicians to commit corruption in order to gain financial or electoral advantages, rather than punishing them.</w:t>
      </w:r>
    </w:p>
    <w:p w14:paraId="6A2110B5" w14:textId="77777777" w:rsidR="00F81BC2" w:rsidRDefault="00F81BC2" w:rsidP="00F81BC2"/>
    <w:p w14:paraId="19D99F0A" w14:textId="580F912F" w:rsidR="00F81BC2" w:rsidRDefault="00521AB0" w:rsidP="00F81BC2">
      <w:commentRangeStart w:id="3"/>
      <w:r>
        <w:t>Both principal-agent and collective-action models are called into question by these findings. They complicate the principal–agent prediction that elections function as a monitoring mechanism</w:t>
      </w:r>
      <w:commentRangeEnd w:id="3"/>
      <w:r w:rsidR="00765EC1">
        <w:rPr>
          <w:rStyle w:val="CommentReference"/>
        </w:rPr>
        <w:commentReference w:id="3"/>
      </w:r>
      <w:r>
        <w:t xml:space="preserve">. They also add a temporal dimension often absent from collective-action accounts: expectations of pre-electoral corruption may themselves become part of a societal equilibrium. Voters may dismiss corruption as normal and </w:t>
      </w:r>
      <w:commentRangeStart w:id="4"/>
      <w:r>
        <w:t>refrain from penalising politicians who are implicated if they believe corruption will rise before elections.</w:t>
      </w:r>
      <w:commentRangeEnd w:id="4"/>
      <w:r w:rsidR="00765EC1">
        <w:rPr>
          <w:rStyle w:val="CommentReference"/>
        </w:rPr>
        <w:commentReference w:id="4"/>
      </w:r>
    </w:p>
    <w:p w14:paraId="388178EB" w14:textId="77777777" w:rsidR="00521AB0" w:rsidRDefault="00521AB0" w:rsidP="00F81BC2"/>
    <w:p w14:paraId="19C908DC" w14:textId="4BE9200D" w:rsidR="00521AB0" w:rsidRDefault="00A36652" w:rsidP="00F81BC2">
      <w:r w:rsidRPr="00A36652">
        <w:t xml:space="preserve">The notion that dynamic rather than static types of corruption can occur in democratic systems is supported by </w:t>
      </w:r>
      <w:r>
        <w:t xml:space="preserve">other </w:t>
      </w:r>
      <w:r w:rsidRPr="00A36652">
        <w:t xml:space="preserve">research. Chang, Golden and Hill (2010) show </w:t>
      </w:r>
      <w:commentRangeStart w:id="5"/>
      <w:r w:rsidRPr="00A36652">
        <w:t>that voters sometimes tolerate corrupt politicians when they deliver clientelist benefits</w:t>
      </w:r>
      <w:commentRangeEnd w:id="5"/>
      <w:r w:rsidR="00765EC1">
        <w:rPr>
          <w:rStyle w:val="CommentReference"/>
        </w:rPr>
        <w:commentReference w:id="5"/>
      </w:r>
      <w:r w:rsidRPr="00A36652">
        <w:t xml:space="preserve">. Firms, too, strategically adjust their political investments in response to policy opportunities and election schedules (de Figueiredo et al. 2022). These patterns demonstrate how </w:t>
      </w:r>
      <w:r w:rsidRPr="00A36652">
        <w:lastRenderedPageBreak/>
        <w:t>corruption frequently changes over time and between nations in response to changes in political risk, competition, and the informational environment.</w:t>
      </w:r>
    </w:p>
    <w:p w14:paraId="1F5EAA91" w14:textId="77777777" w:rsidR="00A36652" w:rsidRDefault="00A36652" w:rsidP="00F81BC2"/>
    <w:p w14:paraId="393AF910" w14:textId="7E33D633" w:rsidR="00A36652" w:rsidRDefault="00A36652" w:rsidP="00F81BC2">
      <w:pPr>
        <w:rPr>
          <w:b/>
          <w:bCs/>
          <w:u w:val="single"/>
        </w:rPr>
      </w:pPr>
      <w:r w:rsidRPr="00A36652">
        <w:rPr>
          <w:b/>
          <w:bCs/>
          <w:u w:val="single"/>
        </w:rPr>
        <w:t>5. Gender, Accountability, and the Conditional Nature of Anti-Corruption Effects</w:t>
      </w:r>
    </w:p>
    <w:p w14:paraId="3794A8DF" w14:textId="77777777" w:rsidR="00A36652" w:rsidRDefault="00A36652" w:rsidP="00F81BC2">
      <w:pPr>
        <w:rPr>
          <w:b/>
          <w:bCs/>
          <w:u w:val="single"/>
        </w:rPr>
      </w:pPr>
    </w:p>
    <w:p w14:paraId="1258D574" w14:textId="77777777" w:rsidR="00A36652" w:rsidRPr="00A36652" w:rsidRDefault="00A36652" w:rsidP="00F81BC2"/>
    <w:p w14:paraId="6E4813A1" w14:textId="570BED7F" w:rsidR="00A36652" w:rsidRDefault="00A36652" w:rsidP="00A36652">
      <w:r w:rsidRPr="00A36652">
        <w:t>A separate but increasingly influential literature examines how political actors’ characteristics</w:t>
      </w:r>
      <w:r>
        <w:t xml:space="preserve"> </w:t>
      </w:r>
      <w:r w:rsidR="004167CE">
        <w:t>e</w:t>
      </w:r>
      <w:r w:rsidRPr="00A36652">
        <w:t>specially gender</w:t>
      </w:r>
      <w:r>
        <w:t>, i</w:t>
      </w:r>
      <w:r w:rsidRPr="00A36652">
        <w:t>nfluence both perceived and actual levels of corruption. Esarey and Schwindt-Bayer (2018) claim that the presence of women in political office is associated with lower levels of corruption, not because women have higher moral standards by nature, but rather because they are more risk-averse and more closely watched by the public and media. These mechanisms are specifically highlighted in the week eight slides: women’s behaviour is more heavily monitored, and deviations from norms are more harshly penalised (GV307 Week 8 Lecture, 2025).</w:t>
      </w:r>
    </w:p>
    <w:p w14:paraId="07453DE3" w14:textId="77777777" w:rsidR="00F76940" w:rsidRDefault="00F76940" w:rsidP="00A36652"/>
    <w:p w14:paraId="4096D0C6" w14:textId="780B2C94" w:rsidR="00F76940" w:rsidRDefault="00F76940" w:rsidP="00A36652">
      <w:r w:rsidRPr="00F76940">
        <w:t>Crucially, Esarey and Schwindt-Bayer argue that this relationship is conditional. In political situations with strong accountability mechanisms, such as those with free media, parliamentary systems, or low baseline levels of corruption, women's representation reduces corruption the most. The same dynamics might not apply in more corrupt situations, though, as gender-based disparities in risk-taking or reputation concerns might be subordinated to the equilibrium of expected conduct.</w:t>
      </w:r>
    </w:p>
    <w:p w14:paraId="025C32B1" w14:textId="77777777" w:rsidR="00F76940" w:rsidRDefault="00F76940" w:rsidP="00A36652"/>
    <w:p w14:paraId="0424FB5C" w14:textId="0CB20550" w:rsidR="00F76940" w:rsidRDefault="00F76940" w:rsidP="00A36652">
      <w:r w:rsidRPr="00F76940">
        <w:t xml:space="preserve">Subsequent research corroborates this. Barnes and Beaulieu (2014) show that voters </w:t>
      </w:r>
      <w:commentRangeStart w:id="6"/>
      <w:r w:rsidRPr="00F76940">
        <w:t>perceive female candidates as less corrupt, potentially giving women an electoral advantage in contexts where integrity is valued</w:t>
      </w:r>
      <w:commentRangeEnd w:id="6"/>
      <w:r w:rsidR="00765EC1">
        <w:rPr>
          <w:rStyle w:val="CommentReference"/>
        </w:rPr>
        <w:commentReference w:id="6"/>
      </w:r>
      <w:r w:rsidRPr="00F76940">
        <w:t xml:space="preserve">. </w:t>
      </w:r>
      <w:proofErr w:type="spellStart"/>
      <w:r w:rsidRPr="00F76940">
        <w:t>Bauhr</w:t>
      </w:r>
      <w:proofErr w:type="spellEnd"/>
      <w:r w:rsidRPr="00F76940">
        <w:t xml:space="preserve"> and Charron (2021) find that gender differences in corruption outcomes tend to emerge only in environments with a functioning rule of law. In other words, </w:t>
      </w:r>
      <w:commentRangeStart w:id="7"/>
      <w:r w:rsidRPr="00F76940">
        <w:t>gender does not operate as a universal corrective mechanism but interacts with institutional and social expectations</w:t>
      </w:r>
      <w:commentRangeEnd w:id="7"/>
      <w:r w:rsidR="00765EC1">
        <w:rPr>
          <w:rStyle w:val="CommentReference"/>
        </w:rPr>
        <w:commentReference w:id="7"/>
      </w:r>
      <w:r w:rsidRPr="00F76940">
        <w:t>.</w:t>
      </w:r>
    </w:p>
    <w:p w14:paraId="3E2ED71D" w14:textId="77777777" w:rsidR="00F76940" w:rsidRDefault="00F76940" w:rsidP="00A36652"/>
    <w:p w14:paraId="08AEB9A6" w14:textId="77B2CEE8" w:rsidR="00F76940" w:rsidRDefault="00F76940" w:rsidP="00A36652">
      <w:r w:rsidRPr="00F76940">
        <w:t>Within a collective-action framework, this makes sense: in contexts where corruption is normalised, the identity of individual politicians matters less because systemic incentives dominate. Gendered accountability, on the other hand, can create expectations, influence perceptions, and even strengthen clean governance standards in low-corruption equilibria. These dynamics make gender a promising lens for examining belief updating within corruption equilibria.</w:t>
      </w:r>
    </w:p>
    <w:p w14:paraId="405C2C31" w14:textId="77777777" w:rsidR="00F76940" w:rsidRDefault="00F76940" w:rsidP="00A36652"/>
    <w:p w14:paraId="5B3C8B7F" w14:textId="35CC7E15" w:rsidR="00F76940" w:rsidRDefault="00F76940" w:rsidP="00A36652">
      <w:pPr>
        <w:rPr>
          <w:b/>
          <w:bCs/>
          <w:u w:val="single"/>
        </w:rPr>
      </w:pPr>
      <w:r w:rsidRPr="00F76940">
        <w:rPr>
          <w:b/>
          <w:bCs/>
          <w:u w:val="single"/>
        </w:rPr>
        <w:t>6. Synthesising the Literature: Interacting Mechanisms</w:t>
      </w:r>
    </w:p>
    <w:p w14:paraId="3A77EDED" w14:textId="77777777" w:rsidR="00F76940" w:rsidRDefault="00F76940" w:rsidP="00A36652">
      <w:pPr>
        <w:rPr>
          <w:b/>
          <w:bCs/>
          <w:u w:val="single"/>
        </w:rPr>
      </w:pPr>
    </w:p>
    <w:p w14:paraId="6B8DCB11" w14:textId="30C2437F" w:rsidR="00F76940" w:rsidRDefault="00F76940" w:rsidP="00A36652">
      <w:r w:rsidRPr="00F76940">
        <w:t>Bringing the three literatures together highlights how corruption is sustained by overlapping mechanisms operating at different levels of analysis.</w:t>
      </w:r>
    </w:p>
    <w:p w14:paraId="61DFE3DA" w14:textId="77777777" w:rsidR="00F76940" w:rsidRDefault="00F76940" w:rsidP="00A36652"/>
    <w:p w14:paraId="0C93BFB1" w14:textId="09B93D51" w:rsidR="00F76940" w:rsidRDefault="00F76940" w:rsidP="00F76940">
      <w:pPr>
        <w:pStyle w:val="ListParagraph"/>
        <w:numPr>
          <w:ilvl w:val="0"/>
          <w:numId w:val="1"/>
        </w:numPr>
      </w:pPr>
      <w:r w:rsidRPr="00F76940">
        <w:t>Principal–agent reforms often fail because they presuppose effective principals.</w:t>
      </w:r>
    </w:p>
    <w:p w14:paraId="084E0B4B" w14:textId="77777777" w:rsidR="00F76940" w:rsidRDefault="00F76940" w:rsidP="00F76940">
      <w:pPr>
        <w:pStyle w:val="ListParagraph"/>
      </w:pPr>
    </w:p>
    <w:p w14:paraId="5BC8DC62" w14:textId="5223CEBC" w:rsidR="00F76940" w:rsidRDefault="00F76940" w:rsidP="00F76940">
      <w:pPr>
        <w:pStyle w:val="ListParagraph"/>
      </w:pPr>
      <w:r>
        <w:t xml:space="preserve">As </w:t>
      </w:r>
      <w:r w:rsidR="00430046">
        <w:t xml:space="preserve">the </w:t>
      </w:r>
      <w:r>
        <w:t xml:space="preserve">Week 8 </w:t>
      </w:r>
      <w:r w:rsidR="00430046">
        <w:t xml:space="preserve">slides convey </w:t>
      </w:r>
      <w:r>
        <w:t>(</w:t>
      </w:r>
      <w:r w:rsidRPr="00F81BC2">
        <w:t>GV307 Week 8 Lecture, 2025).</w:t>
      </w:r>
      <w:r>
        <w:t xml:space="preserve"> Citizens frequently lack either the belief or the incentive to punish corruption, meaning that even </w:t>
      </w:r>
      <w:r w:rsidR="00430046">
        <w:t>well-structured</w:t>
      </w:r>
      <w:r>
        <w:t xml:space="preserve"> reforms do not shift behaviour. Without a change in </w:t>
      </w:r>
      <w:r>
        <w:lastRenderedPageBreak/>
        <w:t>expectations, the structural adjustments proposed by principal–agent models have limited reach.</w:t>
      </w:r>
    </w:p>
    <w:p w14:paraId="7A560D6C" w14:textId="77777777" w:rsidR="00430046" w:rsidRDefault="00430046" w:rsidP="00F76940">
      <w:pPr>
        <w:pStyle w:val="ListParagraph"/>
      </w:pPr>
    </w:p>
    <w:p w14:paraId="1159882F" w14:textId="77BEB240" w:rsidR="00430046" w:rsidRDefault="00430046" w:rsidP="00430046">
      <w:pPr>
        <w:pStyle w:val="ListParagraph"/>
        <w:numPr>
          <w:ilvl w:val="0"/>
          <w:numId w:val="1"/>
        </w:numPr>
      </w:pPr>
      <w:r w:rsidRPr="00430046">
        <w:t>Collective-action dynamics explain equilibrium persistence but largely overlook temporal incentives.</w:t>
      </w:r>
    </w:p>
    <w:p w14:paraId="667F6C4D" w14:textId="77777777" w:rsidR="00430046" w:rsidRDefault="00430046" w:rsidP="00430046">
      <w:pPr>
        <w:pStyle w:val="ListParagraph"/>
      </w:pPr>
    </w:p>
    <w:p w14:paraId="37EE21C5" w14:textId="105BBD99" w:rsidR="00430046" w:rsidRDefault="00430046" w:rsidP="00430046">
      <w:pPr>
        <w:pStyle w:val="ListParagraph"/>
      </w:pPr>
      <w:r w:rsidRPr="00430046">
        <w:t>The discovery that corruption increases before elections (Figueroa 2021</w:t>
      </w:r>
      <w:commentRangeStart w:id="8"/>
      <w:r w:rsidRPr="00430046">
        <w:t xml:space="preserve">) implies that beliefs </w:t>
      </w:r>
      <w:commentRangeEnd w:id="8"/>
      <w:r w:rsidR="00095D1D">
        <w:rPr>
          <w:rStyle w:val="CommentReference"/>
        </w:rPr>
        <w:commentReference w:id="8"/>
      </w:r>
      <w:r w:rsidRPr="00430046">
        <w:t>and behaviours vary consistently throughout the electoral cycle. If voters believe that this kind of activity is typical of campaigning, these cyclical expectations could further solidify systemic corruption.</w:t>
      </w:r>
    </w:p>
    <w:p w14:paraId="549F8854" w14:textId="77777777" w:rsidR="00430046" w:rsidRDefault="00430046" w:rsidP="00430046">
      <w:pPr>
        <w:pStyle w:val="ListParagraph"/>
      </w:pPr>
    </w:p>
    <w:p w14:paraId="4CF4F36D" w14:textId="3FAD0B43" w:rsidR="00430046" w:rsidRDefault="00430046" w:rsidP="00430046">
      <w:pPr>
        <w:pStyle w:val="ListParagraph"/>
        <w:numPr>
          <w:ilvl w:val="0"/>
          <w:numId w:val="1"/>
        </w:numPr>
      </w:pPr>
      <w:r w:rsidRPr="00430046">
        <w:t>Gendered accountability reveals how identity, expectations, and scrutiny intersect.</w:t>
      </w:r>
    </w:p>
    <w:p w14:paraId="4BD79D4A" w14:textId="1FFCA4E6" w:rsidR="00430046" w:rsidRDefault="00430046" w:rsidP="00430046">
      <w:pPr>
        <w:pStyle w:val="ListParagraph"/>
      </w:pPr>
      <w:r w:rsidRPr="00430046">
        <w:t>Women may shift public expectations in some settings but not others. Their presence may disrupt corruption equilibria only where the institutional environment allows voters to enforce behavioural norms.</w:t>
      </w:r>
    </w:p>
    <w:p w14:paraId="66D37FC1" w14:textId="77777777" w:rsidR="00430046" w:rsidRDefault="00430046" w:rsidP="00430046">
      <w:pPr>
        <w:pStyle w:val="ListParagraph"/>
      </w:pPr>
    </w:p>
    <w:p w14:paraId="135629B8" w14:textId="7EEF841A" w:rsidR="00430046" w:rsidRDefault="001B1B67" w:rsidP="00430046">
      <w:commentRangeStart w:id="9"/>
      <w:r>
        <w:t>Combining these strands suggests that corruption persists because identity, time, and beliefs all influence behaviour. Voters' expectations of who is likely to act corruptly and when have an impact on how they perceive and react to wrongdoing. Because they focus on formal incentives rather than the underlying patterns of expectation that support equilibrium conduct, anti-corruption policies usually fail.</w:t>
      </w:r>
      <w:commentRangeEnd w:id="9"/>
      <w:r w:rsidR="00095D1D">
        <w:rPr>
          <w:rStyle w:val="CommentReference"/>
        </w:rPr>
        <w:commentReference w:id="9"/>
      </w:r>
    </w:p>
    <w:p w14:paraId="3F4092EA" w14:textId="77777777" w:rsidR="001B1B67" w:rsidRDefault="001B1B67" w:rsidP="00430046"/>
    <w:p w14:paraId="58EB3BBD" w14:textId="2F82BF0C" w:rsidR="001B1B67" w:rsidRDefault="001B1B67" w:rsidP="00430046">
      <w:pPr>
        <w:rPr>
          <w:b/>
          <w:bCs/>
          <w:u w:val="single"/>
        </w:rPr>
      </w:pPr>
      <w:r w:rsidRPr="001B1B67">
        <w:rPr>
          <w:b/>
          <w:bCs/>
          <w:u w:val="single"/>
        </w:rPr>
        <w:t>7. Research Frontier and a Novel Research Question</w:t>
      </w:r>
    </w:p>
    <w:p w14:paraId="4C668674" w14:textId="77777777" w:rsidR="001B1B67" w:rsidRDefault="001B1B67" w:rsidP="00430046">
      <w:pPr>
        <w:rPr>
          <w:b/>
          <w:bCs/>
          <w:u w:val="single"/>
        </w:rPr>
      </w:pPr>
    </w:p>
    <w:p w14:paraId="1B7C5B6A" w14:textId="49583FE5" w:rsidR="001B1B67" w:rsidRDefault="001B1B67" w:rsidP="00430046">
      <w:r w:rsidRPr="001B1B67">
        <w:t>Against this background, the following research question can meaningfully advance the field:</w:t>
      </w:r>
    </w:p>
    <w:p w14:paraId="395F1A94" w14:textId="77777777" w:rsidR="001B1B67" w:rsidRDefault="001B1B67" w:rsidP="00430046"/>
    <w:p w14:paraId="51B3C1C1" w14:textId="66A57F60" w:rsidR="001B1B67" w:rsidRPr="004167CE" w:rsidRDefault="001B1B67" w:rsidP="00430046">
      <w:pPr>
        <w:rPr>
          <w:i/>
          <w:iCs/>
        </w:rPr>
      </w:pPr>
      <w:r w:rsidRPr="004167CE">
        <w:rPr>
          <w:i/>
          <w:iCs/>
        </w:rPr>
        <w:t>How do citizens’ beliefs about the accountability of different types of political actors (e.g., women vs. men, incumbents vs. challengers) interact with electoral cycles to sustain or disrupt systemic corruption equilibria?</w:t>
      </w:r>
    </w:p>
    <w:p w14:paraId="0B5D2AF8" w14:textId="77777777" w:rsidR="001B1B67" w:rsidRDefault="001B1B67" w:rsidP="00430046"/>
    <w:p w14:paraId="6D193700" w14:textId="23D3B0C7" w:rsidR="001B1B67" w:rsidRDefault="001B1B67" w:rsidP="00430046">
      <w:commentRangeStart w:id="10"/>
      <w:r>
        <w:t>Why this question advances existing research?</w:t>
      </w:r>
    </w:p>
    <w:p w14:paraId="07DB2610" w14:textId="77777777" w:rsidR="001B1B67" w:rsidRDefault="001B1B67" w:rsidP="00430046"/>
    <w:p w14:paraId="7F2EFF1E" w14:textId="2CFC907C" w:rsidR="001B1B67" w:rsidRDefault="001B1B67" w:rsidP="001B1B67">
      <w:pPr>
        <w:pStyle w:val="ListParagraph"/>
        <w:numPr>
          <w:ilvl w:val="0"/>
          <w:numId w:val="2"/>
        </w:numPr>
      </w:pPr>
      <w:r w:rsidRPr="001B1B67">
        <w:t>It links identity-based expectations to temporal corruption dynamics.</w:t>
      </w:r>
    </w:p>
    <w:p w14:paraId="5637D6E8" w14:textId="5F0D7CE0" w:rsidR="001B1B67" w:rsidRDefault="001B1B67" w:rsidP="001B1B67">
      <w:pPr>
        <w:pStyle w:val="ListParagraph"/>
      </w:pPr>
      <w:r w:rsidRPr="001B1B67">
        <w:t xml:space="preserve">Corruption cycles show that election timing influences behaviour, </w:t>
      </w:r>
      <w:commentRangeStart w:id="11"/>
      <w:r w:rsidRPr="001B1B67">
        <w:t>but it</w:t>
      </w:r>
      <w:r w:rsidR="004167CE">
        <w:t xml:space="preserve"> is </w:t>
      </w:r>
      <w:r w:rsidRPr="001B1B67">
        <w:t>unclear if voters' perceptions of gendered accountability change during these periods.</w:t>
      </w:r>
      <w:commentRangeEnd w:id="11"/>
      <w:r w:rsidR="00095D1D">
        <w:rPr>
          <w:rStyle w:val="CommentReference"/>
        </w:rPr>
        <w:commentReference w:id="11"/>
      </w:r>
    </w:p>
    <w:p w14:paraId="32AA7DB3" w14:textId="77777777" w:rsidR="001B1B67" w:rsidRDefault="001B1B67" w:rsidP="001B1B67">
      <w:pPr>
        <w:pStyle w:val="ListParagraph"/>
      </w:pPr>
    </w:p>
    <w:p w14:paraId="44E8BB75" w14:textId="11923B2E" w:rsidR="001B1B67" w:rsidRDefault="001B1B67" w:rsidP="001B1B67">
      <w:pPr>
        <w:pStyle w:val="ListParagraph"/>
        <w:numPr>
          <w:ilvl w:val="0"/>
          <w:numId w:val="2"/>
        </w:numPr>
      </w:pPr>
      <w:r w:rsidRPr="001B1B67">
        <w:t>It offers a micro-level mechanism for belief change within collective-action equilibria.</w:t>
      </w:r>
    </w:p>
    <w:p w14:paraId="1FBCF2A3" w14:textId="01F4F9C7" w:rsidR="001B1B67" w:rsidRDefault="001B1B67" w:rsidP="001B1B67">
      <w:pPr>
        <w:pStyle w:val="ListParagraph"/>
      </w:pPr>
      <w:r w:rsidRPr="001B1B67">
        <w:t xml:space="preserve">If female politicians are perceived as less corrupt, </w:t>
      </w:r>
      <w:commentRangeStart w:id="12"/>
      <w:r w:rsidRPr="001B1B67">
        <w:t>their candidacies may challenge entrenched expectations</w:t>
      </w:r>
      <w:commentRangeEnd w:id="12"/>
      <w:r w:rsidR="00095D1D">
        <w:rPr>
          <w:rStyle w:val="CommentReference"/>
        </w:rPr>
        <w:commentReference w:id="12"/>
      </w:r>
      <w:r>
        <w:t>. T</w:t>
      </w:r>
      <w:r w:rsidRPr="001B1B67">
        <w:t>hough</w:t>
      </w:r>
      <w:r>
        <w:t xml:space="preserve">, </w:t>
      </w:r>
      <w:r w:rsidRPr="001B1B67">
        <w:t>perhaps only outside of high-corruption equilibria.</w:t>
      </w:r>
    </w:p>
    <w:p w14:paraId="7519EE27" w14:textId="77777777" w:rsidR="001B1B67" w:rsidRDefault="001B1B67" w:rsidP="001B1B67">
      <w:pPr>
        <w:pStyle w:val="ListParagraph"/>
      </w:pPr>
    </w:p>
    <w:p w14:paraId="632F9A0A" w14:textId="152066EE" w:rsidR="001B1B67" w:rsidRDefault="001B1B67" w:rsidP="001B1B67">
      <w:pPr>
        <w:pStyle w:val="ListParagraph"/>
        <w:numPr>
          <w:ilvl w:val="0"/>
          <w:numId w:val="2"/>
        </w:numPr>
      </w:pPr>
      <w:r>
        <w:t>It connects theories that operate at different levels.</w:t>
      </w:r>
    </w:p>
    <w:p w14:paraId="669537C0" w14:textId="2C050134" w:rsidR="001B1B67" w:rsidRDefault="00E24D5B" w:rsidP="001B1B67">
      <w:pPr>
        <w:pStyle w:val="ListParagraph"/>
      </w:pPr>
      <w:r>
        <w:lastRenderedPageBreak/>
        <w:t>Gender research focus</w:t>
      </w:r>
      <w:r w:rsidR="004167CE">
        <w:t>es</w:t>
      </w:r>
      <w:r>
        <w:t xml:space="preserve"> identity and reputational risk. Collective-action models emphasise beliefs. And principal-agent models emphasise monitoring. The timing of elections offers an environment where these mechanisms come </w:t>
      </w:r>
      <w:commentRangeEnd w:id="10"/>
      <w:r w:rsidR="00095D1D">
        <w:rPr>
          <w:rStyle w:val="CommentReference"/>
        </w:rPr>
        <w:commentReference w:id="10"/>
      </w:r>
      <w:r>
        <w:t>together.</w:t>
      </w:r>
    </w:p>
    <w:p w14:paraId="06FE55A0" w14:textId="77777777" w:rsidR="00E24D5B" w:rsidRDefault="00E24D5B" w:rsidP="001B1B67">
      <w:pPr>
        <w:pStyle w:val="ListParagraph"/>
      </w:pPr>
    </w:p>
    <w:p w14:paraId="1796501C" w14:textId="77777777" w:rsidR="00E24D5B" w:rsidRDefault="00E24D5B" w:rsidP="00E24D5B"/>
    <w:p w14:paraId="7EBCE2B6" w14:textId="0D21D16B" w:rsidR="00E24D5B" w:rsidRDefault="00E24D5B" w:rsidP="00E24D5B">
      <w:r>
        <w:t>Possible empirical approaches:</w:t>
      </w:r>
    </w:p>
    <w:p w14:paraId="7051F5B9" w14:textId="77777777" w:rsidR="00E24D5B" w:rsidRDefault="00E24D5B" w:rsidP="00E24D5B"/>
    <w:p w14:paraId="1D179F09" w14:textId="676A53E5" w:rsidR="00E24D5B" w:rsidRPr="00E24D5B" w:rsidRDefault="00E24D5B" w:rsidP="00E24D5B">
      <w:pPr>
        <w:pStyle w:val="NormalWeb"/>
        <w:numPr>
          <w:ilvl w:val="0"/>
          <w:numId w:val="2"/>
        </w:numPr>
        <w:rPr>
          <w:rFonts w:asciiTheme="minorHAnsi" w:hAnsiTheme="minorHAnsi"/>
        </w:rPr>
      </w:pPr>
      <w:r w:rsidRPr="00E24D5B">
        <w:rPr>
          <w:rFonts w:asciiTheme="minorHAnsi" w:hAnsiTheme="minorHAnsi"/>
        </w:rPr>
        <w:t>Survey experiments manipulating politician gender and timing (pre- vs. post-election periods).</w:t>
      </w:r>
    </w:p>
    <w:p w14:paraId="2E3CD5F7" w14:textId="75217804" w:rsidR="00E24D5B" w:rsidRPr="00E24D5B" w:rsidRDefault="00E24D5B" w:rsidP="00E24D5B">
      <w:pPr>
        <w:pStyle w:val="NormalWeb"/>
        <w:numPr>
          <w:ilvl w:val="0"/>
          <w:numId w:val="2"/>
        </w:numPr>
        <w:rPr>
          <w:rFonts w:asciiTheme="minorHAnsi" w:hAnsiTheme="minorHAnsi"/>
        </w:rPr>
      </w:pPr>
      <w:r w:rsidRPr="00E24D5B">
        <w:rPr>
          <w:rFonts w:asciiTheme="minorHAnsi" w:hAnsiTheme="minorHAnsi"/>
        </w:rPr>
        <w:t>Cross-national panel data examining corruption scandal impacts by gender over electoral cycles.</w:t>
      </w:r>
    </w:p>
    <w:p w14:paraId="6EE93952" w14:textId="20062D03" w:rsidR="00E24D5B" w:rsidRPr="00E24D5B" w:rsidRDefault="00E24D5B" w:rsidP="00E24D5B">
      <w:pPr>
        <w:pStyle w:val="NormalWeb"/>
        <w:numPr>
          <w:ilvl w:val="0"/>
          <w:numId w:val="2"/>
        </w:numPr>
        <w:rPr>
          <w:rFonts w:asciiTheme="minorHAnsi" w:hAnsiTheme="minorHAnsi"/>
        </w:rPr>
      </w:pPr>
      <w:r w:rsidRPr="00E24D5B">
        <w:rPr>
          <w:rFonts w:asciiTheme="minorHAnsi" w:hAnsiTheme="minorHAnsi"/>
        </w:rPr>
        <w:t>Replication of high-frequency corruption analyses with gender-coded actor information.</w:t>
      </w:r>
    </w:p>
    <w:p w14:paraId="7F9876E8" w14:textId="29B1B6E3" w:rsidR="00E24D5B" w:rsidRDefault="00E24D5B" w:rsidP="00E24D5B">
      <w:pPr>
        <w:pStyle w:val="NormalWeb"/>
        <w:numPr>
          <w:ilvl w:val="0"/>
          <w:numId w:val="2"/>
        </w:numPr>
        <w:rPr>
          <w:rFonts w:asciiTheme="minorHAnsi" w:hAnsiTheme="minorHAnsi"/>
        </w:rPr>
      </w:pPr>
      <w:r w:rsidRPr="00E24D5B">
        <w:rPr>
          <w:rFonts w:asciiTheme="minorHAnsi" w:hAnsiTheme="minorHAnsi"/>
        </w:rPr>
        <w:t>Field experiments assessing voter responsiveness to corruption allegations across different electoral stages.</w:t>
      </w:r>
    </w:p>
    <w:p w14:paraId="0613D51C" w14:textId="4D7AE660" w:rsidR="00E24D5B" w:rsidRDefault="00E24D5B" w:rsidP="00E24D5B">
      <w:pPr>
        <w:pStyle w:val="NormalWeb"/>
        <w:rPr>
          <w:rFonts w:asciiTheme="minorHAnsi" w:hAnsiTheme="minorHAnsi"/>
        </w:rPr>
      </w:pPr>
      <w:r w:rsidRPr="00E24D5B">
        <w:rPr>
          <w:rFonts w:asciiTheme="minorHAnsi" w:hAnsiTheme="minorHAnsi"/>
        </w:rPr>
        <w:t>This frontier shifts the focus from static institutional design toward understanding how beliefs evolve over time and how actor identity shapes the credibility of accountability mechanisms</w:t>
      </w:r>
      <w:r>
        <w:rPr>
          <w:rFonts w:asciiTheme="minorHAnsi" w:hAnsiTheme="minorHAnsi"/>
        </w:rPr>
        <w:t>.</w:t>
      </w:r>
    </w:p>
    <w:p w14:paraId="29E2C46C" w14:textId="74CC4BC5" w:rsidR="00E24D5B" w:rsidRDefault="00E24D5B" w:rsidP="00E24D5B">
      <w:pPr>
        <w:pStyle w:val="NormalWeb"/>
        <w:rPr>
          <w:rFonts w:asciiTheme="minorHAnsi" w:hAnsiTheme="minorHAnsi"/>
          <w:b/>
          <w:bCs/>
          <w:u w:val="single"/>
        </w:rPr>
      </w:pPr>
      <w:r w:rsidRPr="00E24D5B">
        <w:rPr>
          <w:rFonts w:asciiTheme="minorHAnsi" w:hAnsiTheme="minorHAnsi"/>
          <w:b/>
          <w:bCs/>
          <w:u w:val="single"/>
        </w:rPr>
        <w:t>8. Conclusion</w:t>
      </w:r>
    </w:p>
    <w:p w14:paraId="0436ACDD" w14:textId="2AF10A70" w:rsidR="002E64DA" w:rsidRPr="002E64DA" w:rsidRDefault="002E64DA" w:rsidP="002E64DA">
      <w:pPr>
        <w:pStyle w:val="NormalWeb"/>
        <w:rPr>
          <w:rFonts w:asciiTheme="minorHAnsi" w:hAnsiTheme="minorHAnsi"/>
        </w:rPr>
      </w:pPr>
      <w:r w:rsidRPr="002E64DA">
        <w:rPr>
          <w:rFonts w:asciiTheme="minorHAnsi" w:hAnsiTheme="minorHAnsi"/>
        </w:rPr>
        <w:t>No single theoretical approach fully explains why corruption persists despite sustained reform efforts. Principal–agent models illuminate important incentive structures, yet they struggle in contexts where citizens fail to operate as effective principals. Collective-action theories, while powerful in illustrating how societies become locked into corrupt equilibria, often overlook the identity-based and temporal dynamics that shape behaviour within democratic institutions. Recent empirical work on corruption cycles and gendered accountability adds further complexity, showing how electoral timing and expectations about political actor</w:t>
      </w:r>
      <w:r>
        <w:rPr>
          <w:rFonts w:asciiTheme="minorHAnsi" w:hAnsiTheme="minorHAnsi"/>
        </w:rPr>
        <w:t xml:space="preserve">s </w:t>
      </w:r>
      <w:r w:rsidRPr="002E64DA">
        <w:rPr>
          <w:rFonts w:asciiTheme="minorHAnsi" w:hAnsiTheme="minorHAnsi"/>
        </w:rPr>
        <w:t>influence both conduct and public perceptions.</w:t>
      </w:r>
    </w:p>
    <w:p w14:paraId="3F7D8151" w14:textId="45A19BD3" w:rsidR="002E64DA" w:rsidRDefault="002E64DA" w:rsidP="002E64DA">
      <w:pPr>
        <w:pStyle w:val="NormalWeb"/>
        <w:rPr>
          <w:rFonts w:asciiTheme="minorHAnsi" w:hAnsiTheme="minorHAnsi"/>
        </w:rPr>
      </w:pPr>
      <w:r w:rsidRPr="002E64DA">
        <w:rPr>
          <w:rFonts w:asciiTheme="minorHAnsi" w:hAnsiTheme="minorHAnsi"/>
        </w:rPr>
        <w:t>Understanding corruption therefore requires recognising how identities, incentives, and beliefs interact within political systems. The proposed research question brings these elements together by examining how gendered accountability and electoral timing intersect with broader social expectations. Such an integrated perspective can offer more practical insights into why anti-corruption reforms repeatedly fall short and how they might be redesigned to disrupt entrenched equilibria.</w:t>
      </w:r>
    </w:p>
    <w:p w14:paraId="46FEC836" w14:textId="54289E7E" w:rsidR="002E64DA" w:rsidRPr="0020769D" w:rsidRDefault="0020769D" w:rsidP="002E64DA">
      <w:pPr>
        <w:pStyle w:val="NormalWeb"/>
        <w:rPr>
          <w:rFonts w:asciiTheme="minorHAnsi" w:hAnsiTheme="minorHAnsi"/>
          <w:b/>
          <w:bCs/>
          <w:u w:val="single"/>
        </w:rPr>
      </w:pPr>
      <w:r>
        <w:rPr>
          <w:rFonts w:asciiTheme="minorHAnsi" w:hAnsiTheme="minorHAnsi"/>
          <w:b/>
          <w:bCs/>
          <w:u w:val="single"/>
        </w:rPr>
        <w:t>Use of AI</w:t>
      </w:r>
      <w:r w:rsidRPr="0020769D">
        <w:rPr>
          <w:rFonts w:asciiTheme="minorHAnsi" w:hAnsiTheme="minorHAnsi"/>
          <w:b/>
          <w:bCs/>
          <w:u w:val="single"/>
        </w:rPr>
        <w:t>:</w:t>
      </w:r>
    </w:p>
    <w:p w14:paraId="3AA7776D" w14:textId="77777777" w:rsidR="0020769D" w:rsidRDefault="0020769D" w:rsidP="002E64DA">
      <w:pPr>
        <w:pStyle w:val="NormalWeb"/>
        <w:rPr>
          <w:rFonts w:asciiTheme="minorHAnsi" w:hAnsiTheme="minorHAnsi"/>
        </w:rPr>
      </w:pPr>
      <w:r w:rsidRPr="0020769D">
        <w:rPr>
          <w:rFonts w:asciiTheme="minorHAnsi" w:hAnsiTheme="minorHAnsi"/>
        </w:rPr>
        <w:t>This assignment was prepared with assistance from a foundation model (OpenAI’s ChatGPT) to help organise ideas and support structure and formatting. All analysis, interpretations, and final content decisions are entirely my own.</w:t>
      </w:r>
    </w:p>
    <w:p w14:paraId="43C3F3F4" w14:textId="77777777" w:rsidR="0020769D" w:rsidRDefault="0020769D" w:rsidP="002E64DA">
      <w:pPr>
        <w:pStyle w:val="NormalWeb"/>
        <w:rPr>
          <w:rFonts w:asciiTheme="minorHAnsi" w:hAnsiTheme="minorHAnsi"/>
        </w:rPr>
      </w:pPr>
    </w:p>
    <w:p w14:paraId="1337F259" w14:textId="459D6F4F" w:rsidR="002E64DA" w:rsidRPr="002E64DA" w:rsidRDefault="002E64DA" w:rsidP="002E64DA">
      <w:pPr>
        <w:pStyle w:val="NormalWeb"/>
        <w:rPr>
          <w:rFonts w:asciiTheme="minorHAnsi" w:hAnsiTheme="minorHAnsi"/>
          <w:b/>
          <w:bCs/>
          <w:u w:val="single"/>
        </w:rPr>
      </w:pPr>
      <w:r w:rsidRPr="002E64DA">
        <w:rPr>
          <w:rFonts w:asciiTheme="minorHAnsi" w:hAnsiTheme="minorHAnsi"/>
          <w:b/>
          <w:bCs/>
          <w:u w:val="single"/>
        </w:rPr>
        <w:t>Bibliography (Harvard)</w:t>
      </w:r>
    </w:p>
    <w:p w14:paraId="441817AA" w14:textId="77777777" w:rsidR="002E64DA" w:rsidRPr="002E64DA" w:rsidRDefault="002E64DA" w:rsidP="002E64DA">
      <w:pPr>
        <w:pStyle w:val="NormalWeb"/>
        <w:rPr>
          <w:rFonts w:asciiTheme="minorHAnsi" w:hAnsiTheme="minorHAnsi"/>
        </w:rPr>
      </w:pPr>
      <w:r w:rsidRPr="002E64DA">
        <w:rPr>
          <w:rFonts w:asciiTheme="minorHAnsi" w:hAnsiTheme="minorHAnsi"/>
        </w:rPr>
        <w:t>Acemoglu, D. and Robinson, J., 2012. Why Nations Fail. New York: Crown.</w:t>
      </w:r>
    </w:p>
    <w:p w14:paraId="6B50A827" w14:textId="77777777" w:rsidR="002E64DA" w:rsidRPr="002E64DA" w:rsidRDefault="002E64DA" w:rsidP="002E64DA">
      <w:pPr>
        <w:pStyle w:val="NormalWeb"/>
        <w:rPr>
          <w:rFonts w:asciiTheme="minorHAnsi" w:hAnsiTheme="minorHAnsi"/>
        </w:rPr>
      </w:pPr>
      <w:r w:rsidRPr="002E64DA">
        <w:rPr>
          <w:rFonts w:asciiTheme="minorHAnsi" w:hAnsiTheme="minorHAnsi"/>
        </w:rPr>
        <w:t>Barnes, T. and Beaulieu, E., 2014. Gender stereotypes and corruption: How candidates affect perceptions of election fraud. Politics &amp; Gender, 10(3), pp.365-391.</w:t>
      </w:r>
    </w:p>
    <w:p w14:paraId="104FC061" w14:textId="77777777" w:rsidR="002E64DA" w:rsidRPr="002E64DA" w:rsidRDefault="002E64DA" w:rsidP="002E64DA">
      <w:pPr>
        <w:pStyle w:val="NormalWeb"/>
        <w:rPr>
          <w:rFonts w:asciiTheme="minorHAnsi" w:hAnsiTheme="minorHAnsi"/>
        </w:rPr>
      </w:pPr>
      <w:r w:rsidRPr="002E64DA">
        <w:rPr>
          <w:rFonts w:asciiTheme="minorHAnsi" w:hAnsiTheme="minorHAnsi"/>
        </w:rPr>
        <w:t>Bauhr, M. and Charron, N., 2021. Women’s representation and institutional quality: New evidence from Europe. European Journal of Political Research, 60(3), pp.596-618.</w:t>
      </w:r>
    </w:p>
    <w:p w14:paraId="5E940567" w14:textId="77777777" w:rsidR="002E64DA" w:rsidRPr="002E64DA" w:rsidRDefault="002E64DA" w:rsidP="002E64DA">
      <w:pPr>
        <w:pStyle w:val="NormalWeb"/>
        <w:rPr>
          <w:rFonts w:asciiTheme="minorHAnsi" w:hAnsiTheme="minorHAnsi"/>
        </w:rPr>
      </w:pPr>
      <w:r w:rsidRPr="002E64DA">
        <w:rPr>
          <w:rFonts w:asciiTheme="minorHAnsi" w:hAnsiTheme="minorHAnsi"/>
        </w:rPr>
        <w:t>Chang, E., Golden, M. and Hill, S., 2010. Legislative malfeasance and political accountability. World Politics, 62(2), pp.177-220.</w:t>
      </w:r>
    </w:p>
    <w:p w14:paraId="6FA03B26" w14:textId="77777777" w:rsidR="002E64DA" w:rsidRPr="002E64DA" w:rsidRDefault="002E64DA" w:rsidP="002E64DA">
      <w:pPr>
        <w:pStyle w:val="NormalWeb"/>
        <w:rPr>
          <w:rFonts w:asciiTheme="minorHAnsi" w:hAnsiTheme="minorHAnsi"/>
        </w:rPr>
      </w:pPr>
      <w:r w:rsidRPr="002E64DA">
        <w:rPr>
          <w:rFonts w:asciiTheme="minorHAnsi" w:hAnsiTheme="minorHAnsi"/>
        </w:rPr>
        <w:t>de Figueiredo, J., Richter, B. and Voth, H., 2022. Campaign finance and corporate influence. Journal of Political Economy, 130(4), pp.1-45.</w:t>
      </w:r>
    </w:p>
    <w:p w14:paraId="710A0EDF" w14:textId="77777777" w:rsidR="002E64DA" w:rsidRPr="002E64DA" w:rsidRDefault="002E64DA" w:rsidP="002E64DA">
      <w:pPr>
        <w:pStyle w:val="NormalWeb"/>
        <w:rPr>
          <w:rFonts w:asciiTheme="minorHAnsi" w:hAnsiTheme="minorHAnsi"/>
        </w:rPr>
      </w:pPr>
      <w:r w:rsidRPr="002E64DA">
        <w:rPr>
          <w:rFonts w:asciiTheme="minorHAnsi" w:hAnsiTheme="minorHAnsi"/>
        </w:rPr>
        <w:t>Esarey, J. and Schwindt-Bayer, L., 2018. Women’s representation, accountability and corruption in democracies. British Journal of Political Science, 48(3), pp.659-690.</w:t>
      </w:r>
    </w:p>
    <w:p w14:paraId="29E97AC6" w14:textId="77777777" w:rsidR="002E64DA" w:rsidRPr="002E64DA" w:rsidRDefault="002E64DA" w:rsidP="002E64DA">
      <w:pPr>
        <w:pStyle w:val="NormalWeb"/>
        <w:rPr>
          <w:rFonts w:asciiTheme="minorHAnsi" w:hAnsiTheme="minorHAnsi"/>
        </w:rPr>
      </w:pPr>
      <w:r w:rsidRPr="002E64DA">
        <w:rPr>
          <w:rFonts w:asciiTheme="minorHAnsi" w:hAnsiTheme="minorHAnsi"/>
        </w:rPr>
        <w:t>Figueroa, V., 2021. Political corruption cycles: High-frequency evidence from Argentina’s notebooks scandal. Comparative Political Studies, 54(2), pp.219-249.</w:t>
      </w:r>
    </w:p>
    <w:p w14:paraId="7D17B7D9" w14:textId="77777777" w:rsidR="002E64DA" w:rsidRPr="002E64DA" w:rsidRDefault="002E64DA" w:rsidP="002E64DA">
      <w:pPr>
        <w:pStyle w:val="NormalWeb"/>
        <w:rPr>
          <w:rFonts w:asciiTheme="minorHAnsi" w:hAnsiTheme="minorHAnsi"/>
        </w:rPr>
      </w:pPr>
      <w:r w:rsidRPr="002E64DA">
        <w:rPr>
          <w:rFonts w:asciiTheme="minorHAnsi" w:hAnsiTheme="minorHAnsi"/>
        </w:rPr>
        <w:t>Klitgaard, R., 1988. Controlling Corruption. Berkeley: University of California Press.</w:t>
      </w:r>
    </w:p>
    <w:p w14:paraId="11F4E956" w14:textId="77777777" w:rsidR="002E64DA" w:rsidRPr="002E64DA" w:rsidRDefault="002E64DA" w:rsidP="002E64DA">
      <w:pPr>
        <w:pStyle w:val="NormalWeb"/>
        <w:rPr>
          <w:rFonts w:asciiTheme="minorHAnsi" w:hAnsiTheme="minorHAnsi"/>
        </w:rPr>
      </w:pPr>
      <w:r w:rsidRPr="002E64DA">
        <w:rPr>
          <w:rFonts w:asciiTheme="minorHAnsi" w:hAnsiTheme="minorHAnsi"/>
        </w:rPr>
        <w:t xml:space="preserve">Persson, A., Rothstein, B. and </w:t>
      </w:r>
      <w:proofErr w:type="spellStart"/>
      <w:r w:rsidRPr="002E64DA">
        <w:rPr>
          <w:rFonts w:asciiTheme="minorHAnsi" w:hAnsiTheme="minorHAnsi"/>
        </w:rPr>
        <w:t>Teorell</w:t>
      </w:r>
      <w:proofErr w:type="spellEnd"/>
      <w:r w:rsidRPr="002E64DA">
        <w:rPr>
          <w:rFonts w:asciiTheme="minorHAnsi" w:hAnsiTheme="minorHAnsi"/>
        </w:rPr>
        <w:t>, J., 2013. Why anticorruption reforms fail: Systemic corruption as a collective action problem. Governance, 26(3), pp.449-471.</w:t>
      </w:r>
    </w:p>
    <w:p w14:paraId="7BA83220" w14:textId="77777777" w:rsidR="002E64DA" w:rsidRPr="002E64DA" w:rsidRDefault="002E64DA" w:rsidP="002E64DA">
      <w:pPr>
        <w:pStyle w:val="NormalWeb"/>
        <w:rPr>
          <w:rFonts w:asciiTheme="minorHAnsi" w:hAnsiTheme="minorHAnsi"/>
        </w:rPr>
      </w:pPr>
      <w:r w:rsidRPr="002E64DA">
        <w:rPr>
          <w:rFonts w:asciiTheme="minorHAnsi" w:hAnsiTheme="minorHAnsi"/>
        </w:rPr>
        <w:t>Rose-Ackerman, S., 1978. Corruption: A Study in Political Economy. New York: Academic Press.</w:t>
      </w:r>
    </w:p>
    <w:p w14:paraId="7E97E411" w14:textId="77777777" w:rsidR="002E64DA" w:rsidRPr="002E64DA" w:rsidRDefault="002E64DA" w:rsidP="002E64DA">
      <w:pPr>
        <w:pStyle w:val="NormalWeb"/>
        <w:rPr>
          <w:rFonts w:asciiTheme="minorHAnsi" w:hAnsiTheme="minorHAnsi"/>
        </w:rPr>
      </w:pPr>
      <w:r w:rsidRPr="002E64DA">
        <w:rPr>
          <w:rFonts w:asciiTheme="minorHAnsi" w:hAnsiTheme="minorHAnsi"/>
        </w:rPr>
        <w:t xml:space="preserve">Rothstein, B. and </w:t>
      </w:r>
      <w:proofErr w:type="spellStart"/>
      <w:r w:rsidRPr="002E64DA">
        <w:rPr>
          <w:rFonts w:asciiTheme="minorHAnsi" w:hAnsiTheme="minorHAnsi"/>
        </w:rPr>
        <w:t>Uslaner</w:t>
      </w:r>
      <w:proofErr w:type="spellEnd"/>
      <w:r w:rsidRPr="002E64DA">
        <w:rPr>
          <w:rFonts w:asciiTheme="minorHAnsi" w:hAnsiTheme="minorHAnsi"/>
        </w:rPr>
        <w:t>, E., 2005. All for all: Equality, corruption and social trust. World Politics, 58(1), pp.41-72.</w:t>
      </w:r>
    </w:p>
    <w:p w14:paraId="64DEED4E" w14:textId="153D7E36" w:rsidR="00430046" w:rsidRDefault="004167CE" w:rsidP="004167CE">
      <w:r w:rsidRPr="004167CE">
        <w:rPr>
          <w:rFonts w:eastAsia="Times New Roman" w:cs="Times New Roman"/>
          <w:kern w:val="0"/>
          <w:lang w:eastAsia="en-GB"/>
          <w14:ligatures w14:val="none"/>
        </w:rPr>
        <w:t>GV307 Week 8 Lecture, 2025. Corruption. University of Essex. (Lecture slides).</w:t>
      </w:r>
    </w:p>
    <w:p w14:paraId="34E7AB16" w14:textId="77777777" w:rsidR="00430046" w:rsidRDefault="00430046" w:rsidP="00430046">
      <w:pPr>
        <w:pStyle w:val="ListParagraph"/>
      </w:pPr>
    </w:p>
    <w:p w14:paraId="7C703F46" w14:textId="77777777" w:rsidR="00430046" w:rsidRDefault="00430046" w:rsidP="00430046">
      <w:pPr>
        <w:pStyle w:val="ListParagraph"/>
      </w:pPr>
    </w:p>
    <w:p w14:paraId="01C08589" w14:textId="77777777" w:rsidR="00430046" w:rsidRDefault="00430046" w:rsidP="00430046">
      <w:pPr>
        <w:pStyle w:val="ListParagraph"/>
      </w:pPr>
    </w:p>
    <w:p w14:paraId="54A5E4DE" w14:textId="77777777" w:rsidR="00430046" w:rsidRDefault="00430046" w:rsidP="00430046">
      <w:pPr>
        <w:pStyle w:val="ListParagraph"/>
      </w:pPr>
    </w:p>
    <w:p w14:paraId="4AC0BFF8" w14:textId="77777777" w:rsidR="00430046" w:rsidRDefault="00430046" w:rsidP="00430046">
      <w:pPr>
        <w:pStyle w:val="ListParagraph"/>
      </w:pPr>
    </w:p>
    <w:p w14:paraId="6191B86E" w14:textId="77777777" w:rsidR="00430046" w:rsidRPr="00F76940" w:rsidRDefault="00430046" w:rsidP="00430046">
      <w:pPr>
        <w:pStyle w:val="ListParagraph"/>
      </w:pPr>
    </w:p>
    <w:p w14:paraId="4FC95C37" w14:textId="77777777" w:rsidR="00F76940" w:rsidRPr="00F81BC2" w:rsidRDefault="00F76940" w:rsidP="00A36652"/>
    <w:sectPr w:rsidR="00F76940" w:rsidRPr="00F81BC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inwand, Martin C" w:date="2026-01-04T15:14:00Z" w:initials="MS">
    <w:p w14:paraId="770B404F" w14:textId="77777777" w:rsidR="00765EC1" w:rsidRDefault="00765EC1" w:rsidP="00765EC1">
      <w:r>
        <w:rPr>
          <w:rStyle w:val="CommentReference"/>
        </w:rPr>
        <w:annotationRef/>
      </w:r>
      <w:r>
        <w:rPr>
          <w:sz w:val="20"/>
          <w:szCs w:val="20"/>
        </w:rPr>
        <w:t>Ok, so you are trying to link three ideas from the readings from class. You'll have to show that we are missing important insights if we treat these ideas separately</w:t>
      </w:r>
    </w:p>
  </w:comment>
  <w:comment w:id="1" w:author="Steinwand, Martin C" w:date="2026-01-04T15:17:00Z" w:initials="MS">
    <w:p w14:paraId="7E6B19C9" w14:textId="77777777" w:rsidR="00765EC1" w:rsidRDefault="00765EC1" w:rsidP="00765EC1">
      <w:r>
        <w:rPr>
          <w:rStyle w:val="CommentReference"/>
        </w:rPr>
        <w:annotationRef/>
      </w:r>
      <w:r>
        <w:rPr>
          <w:sz w:val="20"/>
          <w:szCs w:val="20"/>
        </w:rPr>
        <w:t>Not good style to reference lecture slides like this in an essay -- readers from outside the lecture would have no access to this.</w:t>
      </w:r>
    </w:p>
  </w:comment>
  <w:comment w:id="2" w:author="Steinwand, Martin C" w:date="2026-01-04T15:17:00Z" w:initials="MS">
    <w:p w14:paraId="222FB255" w14:textId="77777777" w:rsidR="00765EC1" w:rsidRDefault="00765EC1" w:rsidP="00765EC1">
      <w:r>
        <w:rPr>
          <w:rStyle w:val="CommentReference"/>
        </w:rPr>
        <w:annotationRef/>
      </w:r>
      <w:r>
        <w:rPr>
          <w:sz w:val="20"/>
          <w:szCs w:val="20"/>
        </w:rPr>
        <w:t xml:space="preserve">Sources? </w:t>
      </w:r>
    </w:p>
  </w:comment>
  <w:comment w:id="3" w:author="Steinwand, Martin C" w:date="2026-01-04T15:20:00Z" w:initials="MS">
    <w:p w14:paraId="6056C5BC" w14:textId="77777777" w:rsidR="00765EC1" w:rsidRDefault="00765EC1" w:rsidP="00765EC1">
      <w:r>
        <w:rPr>
          <w:rStyle w:val="CommentReference"/>
        </w:rPr>
        <w:annotationRef/>
      </w:r>
      <w:r>
        <w:rPr>
          <w:sz w:val="20"/>
          <w:szCs w:val="20"/>
        </w:rPr>
        <w:t xml:space="preserve">How so? Provide a concrete argument. It could be said that the people providing bribes are principals here who will call in favors after the reelection of their candidates. </w:t>
      </w:r>
    </w:p>
  </w:comment>
  <w:comment w:id="4" w:author="Steinwand, Martin C" w:date="2026-01-04T15:21:00Z" w:initials="MS">
    <w:p w14:paraId="268C500B" w14:textId="77777777" w:rsidR="00765EC1" w:rsidRDefault="00765EC1" w:rsidP="00765EC1">
      <w:r>
        <w:rPr>
          <w:rStyle w:val="CommentReference"/>
        </w:rPr>
        <w:annotationRef/>
      </w:r>
      <w:r>
        <w:rPr>
          <w:sz w:val="20"/>
          <w:szCs w:val="20"/>
        </w:rPr>
        <w:t>why?</w:t>
      </w:r>
    </w:p>
  </w:comment>
  <w:comment w:id="5" w:author="Steinwand, Martin C" w:date="2026-01-04T15:21:00Z" w:initials="MS">
    <w:p w14:paraId="01B33AC3" w14:textId="77777777" w:rsidR="00765EC1" w:rsidRDefault="00765EC1" w:rsidP="00765EC1">
      <w:r>
        <w:rPr>
          <w:rStyle w:val="CommentReference"/>
        </w:rPr>
        <w:annotationRef/>
      </w:r>
      <w:r>
        <w:rPr>
          <w:sz w:val="20"/>
          <w:szCs w:val="20"/>
        </w:rPr>
        <w:t xml:space="preserve">what's dynamic about this? </w:t>
      </w:r>
    </w:p>
  </w:comment>
  <w:comment w:id="6" w:author="Steinwand, Martin C" w:date="2026-01-04T15:23:00Z" w:initials="MS">
    <w:p w14:paraId="65C168FB" w14:textId="77777777" w:rsidR="00765EC1" w:rsidRDefault="00765EC1" w:rsidP="00765EC1">
      <w:r>
        <w:rPr>
          <w:rStyle w:val="CommentReference"/>
        </w:rPr>
        <w:annotationRef/>
      </w:r>
      <w:r>
        <w:rPr>
          <w:sz w:val="20"/>
          <w:szCs w:val="20"/>
        </w:rPr>
        <w:t>A different mechanism than the one identify by Esarey and Schwindt-Bayer</w:t>
      </w:r>
    </w:p>
  </w:comment>
  <w:comment w:id="7" w:author="Steinwand, Martin C" w:date="2026-01-04T15:23:00Z" w:initials="MS">
    <w:p w14:paraId="7EF9BC85" w14:textId="77777777" w:rsidR="00765EC1" w:rsidRDefault="00765EC1" w:rsidP="00765EC1">
      <w:r>
        <w:rPr>
          <w:rStyle w:val="CommentReference"/>
        </w:rPr>
        <w:annotationRef/>
      </w:r>
      <w:r>
        <w:rPr>
          <w:sz w:val="20"/>
          <w:szCs w:val="20"/>
        </w:rPr>
        <w:t>too vague</w:t>
      </w:r>
    </w:p>
  </w:comment>
  <w:comment w:id="8" w:author="Steinwand, Martin C" w:date="2026-01-04T15:24:00Z" w:initials="MS">
    <w:p w14:paraId="6532F580" w14:textId="77777777" w:rsidR="00095D1D" w:rsidRDefault="00095D1D" w:rsidP="00095D1D">
      <w:r>
        <w:rPr>
          <w:rStyle w:val="CommentReference"/>
        </w:rPr>
        <w:annotationRef/>
      </w:r>
      <w:r>
        <w:rPr>
          <w:sz w:val="20"/>
          <w:szCs w:val="20"/>
        </w:rPr>
        <w:t xml:space="preserve">why would beliefs vary? </w:t>
      </w:r>
    </w:p>
  </w:comment>
  <w:comment w:id="9" w:author="Steinwand, Martin C" w:date="2026-01-04T15:26:00Z" w:initials="MS">
    <w:p w14:paraId="070E1833" w14:textId="77777777" w:rsidR="00095D1D" w:rsidRDefault="00095D1D" w:rsidP="00095D1D">
      <w:r>
        <w:rPr>
          <w:rStyle w:val="CommentReference"/>
        </w:rPr>
        <w:annotationRef/>
      </w:r>
      <w:r>
        <w:rPr>
          <w:sz w:val="20"/>
          <w:szCs w:val="20"/>
        </w:rPr>
        <w:t xml:space="preserve">There is really no argument here. These three strands of research have shown that the mechanism they identify matter -- be more specific what is missed when fail to bring them together. </w:t>
      </w:r>
    </w:p>
  </w:comment>
  <w:comment w:id="11" w:author="Steinwand, Martin C" w:date="2026-01-04T15:26:00Z" w:initials="MS">
    <w:p w14:paraId="2D8AC061" w14:textId="77777777" w:rsidR="00095D1D" w:rsidRDefault="00095D1D" w:rsidP="00095D1D">
      <w:r>
        <w:rPr>
          <w:rStyle w:val="CommentReference"/>
        </w:rPr>
        <w:annotationRef/>
      </w:r>
      <w:r>
        <w:rPr>
          <w:sz w:val="20"/>
          <w:szCs w:val="20"/>
        </w:rPr>
        <w:t>Why would they? What would be the consequences ?</w:t>
      </w:r>
    </w:p>
  </w:comment>
  <w:comment w:id="12" w:author="Steinwand, Martin C" w:date="2026-01-04T15:27:00Z" w:initials="MS">
    <w:p w14:paraId="4A4BFCCC" w14:textId="77777777" w:rsidR="00095D1D" w:rsidRDefault="00095D1D" w:rsidP="00095D1D">
      <w:r>
        <w:rPr>
          <w:rStyle w:val="CommentReference"/>
        </w:rPr>
        <w:annotationRef/>
      </w:r>
      <w:r>
        <w:rPr>
          <w:sz w:val="20"/>
          <w:szCs w:val="20"/>
        </w:rPr>
        <w:t xml:space="preserve">Ok. Implications? </w:t>
      </w:r>
    </w:p>
  </w:comment>
  <w:comment w:id="10" w:author="Steinwand, Martin C" w:date="2026-01-04T15:26:00Z" w:initials="MS">
    <w:p w14:paraId="3E4CAB09" w14:textId="15F4DADE" w:rsidR="00095D1D" w:rsidRDefault="00095D1D" w:rsidP="00095D1D">
      <w:r>
        <w:rPr>
          <w:rStyle w:val="CommentReference"/>
        </w:rPr>
        <w:annotationRef/>
      </w:r>
      <w:r>
        <w:rPr>
          <w:sz w:val="20"/>
          <w:szCs w:val="20"/>
        </w:rPr>
        <w:t>Bullet points are not good academic style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0B404F" w15:done="0"/>
  <w15:commentEx w15:paraId="7E6B19C9" w15:done="0"/>
  <w15:commentEx w15:paraId="222FB255" w15:done="0"/>
  <w15:commentEx w15:paraId="6056C5BC" w15:done="0"/>
  <w15:commentEx w15:paraId="268C500B" w15:done="0"/>
  <w15:commentEx w15:paraId="01B33AC3" w15:done="0"/>
  <w15:commentEx w15:paraId="65C168FB" w15:done="0"/>
  <w15:commentEx w15:paraId="7EF9BC85" w15:done="0"/>
  <w15:commentEx w15:paraId="6532F580" w15:done="0"/>
  <w15:commentEx w15:paraId="070E1833" w15:done="0"/>
  <w15:commentEx w15:paraId="2D8AC061" w15:done="0"/>
  <w15:commentEx w15:paraId="4A4BFCCC" w15:done="0"/>
  <w15:commentEx w15:paraId="3E4CAB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303F59" w16cex:dateUtc="2026-01-04T15:14:00Z"/>
  <w16cex:commentExtensible w16cex:durableId="2979FA6D" w16cex:dateUtc="2026-01-04T15:17:00Z"/>
  <w16cex:commentExtensible w16cex:durableId="2A7A6E41" w16cex:dateUtc="2026-01-04T15:17:00Z"/>
  <w16cex:commentExtensible w16cex:durableId="612195AA" w16cex:dateUtc="2026-01-04T15:20:00Z"/>
  <w16cex:commentExtensible w16cex:durableId="3C175371" w16cex:dateUtc="2026-01-04T15:21:00Z"/>
  <w16cex:commentExtensible w16cex:durableId="17C4D9E5" w16cex:dateUtc="2026-01-04T15:21:00Z"/>
  <w16cex:commentExtensible w16cex:durableId="3E36877E" w16cex:dateUtc="2026-01-04T15:23:00Z"/>
  <w16cex:commentExtensible w16cex:durableId="49D4A6C2" w16cex:dateUtc="2026-01-04T15:23:00Z"/>
  <w16cex:commentExtensible w16cex:durableId="01139A91" w16cex:dateUtc="2026-01-04T15:24:00Z"/>
  <w16cex:commentExtensible w16cex:durableId="2548D95D" w16cex:dateUtc="2026-01-04T15:26:00Z"/>
  <w16cex:commentExtensible w16cex:durableId="24833BCB" w16cex:dateUtc="2026-01-04T15:26:00Z"/>
  <w16cex:commentExtensible w16cex:durableId="24868950" w16cex:dateUtc="2026-01-04T15:27:00Z"/>
  <w16cex:commentExtensible w16cex:durableId="05B98211" w16cex:dateUtc="2026-01-04T1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0B404F" w16cid:durableId="6F303F59"/>
  <w16cid:commentId w16cid:paraId="7E6B19C9" w16cid:durableId="2979FA6D"/>
  <w16cid:commentId w16cid:paraId="222FB255" w16cid:durableId="2A7A6E41"/>
  <w16cid:commentId w16cid:paraId="6056C5BC" w16cid:durableId="612195AA"/>
  <w16cid:commentId w16cid:paraId="268C500B" w16cid:durableId="3C175371"/>
  <w16cid:commentId w16cid:paraId="01B33AC3" w16cid:durableId="17C4D9E5"/>
  <w16cid:commentId w16cid:paraId="65C168FB" w16cid:durableId="3E36877E"/>
  <w16cid:commentId w16cid:paraId="7EF9BC85" w16cid:durableId="49D4A6C2"/>
  <w16cid:commentId w16cid:paraId="6532F580" w16cid:durableId="01139A91"/>
  <w16cid:commentId w16cid:paraId="070E1833" w16cid:durableId="2548D95D"/>
  <w16cid:commentId w16cid:paraId="2D8AC061" w16cid:durableId="24833BCB"/>
  <w16cid:commentId w16cid:paraId="4A4BFCCC" w16cid:durableId="24868950"/>
  <w16cid:commentId w16cid:paraId="3E4CAB09" w16cid:durableId="05B9821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D2F66"/>
    <w:multiLevelType w:val="hybridMultilevel"/>
    <w:tmpl w:val="0FC07E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018232B"/>
    <w:multiLevelType w:val="hybridMultilevel"/>
    <w:tmpl w:val="D6146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2981317">
    <w:abstractNumId w:val="0"/>
  </w:num>
  <w:num w:numId="2" w16cid:durableId="70714415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inwand, Martin C">
    <w15:presenceInfo w15:providerId="AD" w15:userId="S::ms17779@essex.ac.uk::a6990485-a406-45fb-b218-a7f9fdf030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7E0"/>
    <w:rsid w:val="00034B2B"/>
    <w:rsid w:val="00095D1D"/>
    <w:rsid w:val="001B1B67"/>
    <w:rsid w:val="0020769D"/>
    <w:rsid w:val="002E64DA"/>
    <w:rsid w:val="004167CE"/>
    <w:rsid w:val="00430046"/>
    <w:rsid w:val="004B6E35"/>
    <w:rsid w:val="00521AB0"/>
    <w:rsid w:val="00594295"/>
    <w:rsid w:val="005F1604"/>
    <w:rsid w:val="00656EC4"/>
    <w:rsid w:val="00674E2E"/>
    <w:rsid w:val="00765EC1"/>
    <w:rsid w:val="00A36652"/>
    <w:rsid w:val="00AD3A82"/>
    <w:rsid w:val="00B13D6C"/>
    <w:rsid w:val="00B46CE7"/>
    <w:rsid w:val="00C817E0"/>
    <w:rsid w:val="00D22343"/>
    <w:rsid w:val="00E24D5B"/>
    <w:rsid w:val="00E97843"/>
    <w:rsid w:val="00F76940"/>
    <w:rsid w:val="00F81BC2"/>
    <w:rsid w:val="00FA30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6EE54"/>
  <w15:chartTrackingRefBased/>
  <w15:docId w15:val="{3FD10F53-2DFC-6741-9F15-B7A835A3D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7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7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7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7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7E0"/>
    <w:rPr>
      <w:rFonts w:eastAsiaTheme="majorEastAsia" w:cstheme="majorBidi"/>
      <w:color w:val="272727" w:themeColor="text1" w:themeTint="D8"/>
    </w:rPr>
  </w:style>
  <w:style w:type="paragraph" w:styleId="Title">
    <w:name w:val="Title"/>
    <w:basedOn w:val="Normal"/>
    <w:next w:val="Normal"/>
    <w:link w:val="TitleChar"/>
    <w:uiPriority w:val="10"/>
    <w:qFormat/>
    <w:rsid w:val="00C817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7E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7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17E0"/>
    <w:rPr>
      <w:i/>
      <w:iCs/>
      <w:color w:val="404040" w:themeColor="text1" w:themeTint="BF"/>
    </w:rPr>
  </w:style>
  <w:style w:type="paragraph" w:styleId="ListParagraph">
    <w:name w:val="List Paragraph"/>
    <w:basedOn w:val="Normal"/>
    <w:uiPriority w:val="34"/>
    <w:qFormat/>
    <w:rsid w:val="00C817E0"/>
    <w:pPr>
      <w:ind w:left="720"/>
      <w:contextualSpacing/>
    </w:pPr>
  </w:style>
  <w:style w:type="character" w:styleId="IntenseEmphasis">
    <w:name w:val="Intense Emphasis"/>
    <w:basedOn w:val="DefaultParagraphFont"/>
    <w:uiPriority w:val="21"/>
    <w:qFormat/>
    <w:rsid w:val="00C817E0"/>
    <w:rPr>
      <w:i/>
      <w:iCs/>
      <w:color w:val="0F4761" w:themeColor="accent1" w:themeShade="BF"/>
    </w:rPr>
  </w:style>
  <w:style w:type="paragraph" w:styleId="IntenseQuote">
    <w:name w:val="Intense Quote"/>
    <w:basedOn w:val="Normal"/>
    <w:next w:val="Normal"/>
    <w:link w:val="IntenseQuoteChar"/>
    <w:uiPriority w:val="30"/>
    <w:qFormat/>
    <w:rsid w:val="00C81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7E0"/>
    <w:rPr>
      <w:i/>
      <w:iCs/>
      <w:color w:val="0F4761" w:themeColor="accent1" w:themeShade="BF"/>
    </w:rPr>
  </w:style>
  <w:style w:type="character" w:styleId="IntenseReference">
    <w:name w:val="Intense Reference"/>
    <w:basedOn w:val="DefaultParagraphFont"/>
    <w:uiPriority w:val="32"/>
    <w:qFormat/>
    <w:rsid w:val="00C817E0"/>
    <w:rPr>
      <w:b/>
      <w:bCs/>
      <w:smallCaps/>
      <w:color w:val="0F4761" w:themeColor="accent1" w:themeShade="BF"/>
      <w:spacing w:val="5"/>
    </w:rPr>
  </w:style>
  <w:style w:type="paragraph" w:styleId="NormalWeb">
    <w:name w:val="Normal (Web)"/>
    <w:basedOn w:val="Normal"/>
    <w:uiPriority w:val="99"/>
    <w:unhideWhenUsed/>
    <w:rsid w:val="00E24D5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CommentReference">
    <w:name w:val="annotation reference"/>
    <w:basedOn w:val="DefaultParagraphFont"/>
    <w:uiPriority w:val="99"/>
    <w:semiHidden/>
    <w:unhideWhenUsed/>
    <w:rsid w:val="00765EC1"/>
    <w:rPr>
      <w:sz w:val="16"/>
      <w:szCs w:val="16"/>
    </w:rPr>
  </w:style>
  <w:style w:type="paragraph" w:styleId="CommentText">
    <w:name w:val="annotation text"/>
    <w:basedOn w:val="Normal"/>
    <w:link w:val="CommentTextChar"/>
    <w:uiPriority w:val="99"/>
    <w:semiHidden/>
    <w:unhideWhenUsed/>
    <w:rsid w:val="00765EC1"/>
    <w:rPr>
      <w:sz w:val="20"/>
      <w:szCs w:val="20"/>
    </w:rPr>
  </w:style>
  <w:style w:type="character" w:customStyle="1" w:styleId="CommentTextChar">
    <w:name w:val="Comment Text Char"/>
    <w:basedOn w:val="DefaultParagraphFont"/>
    <w:link w:val="CommentText"/>
    <w:uiPriority w:val="99"/>
    <w:semiHidden/>
    <w:rsid w:val="00765EC1"/>
    <w:rPr>
      <w:sz w:val="20"/>
      <w:szCs w:val="20"/>
    </w:rPr>
  </w:style>
  <w:style w:type="paragraph" w:styleId="CommentSubject">
    <w:name w:val="annotation subject"/>
    <w:basedOn w:val="CommentText"/>
    <w:next w:val="CommentText"/>
    <w:link w:val="CommentSubjectChar"/>
    <w:uiPriority w:val="99"/>
    <w:semiHidden/>
    <w:unhideWhenUsed/>
    <w:rsid w:val="00765EC1"/>
    <w:rPr>
      <w:b/>
      <w:bCs/>
    </w:rPr>
  </w:style>
  <w:style w:type="character" w:customStyle="1" w:styleId="CommentSubjectChar">
    <w:name w:val="Comment Subject Char"/>
    <w:basedOn w:val="CommentTextChar"/>
    <w:link w:val="CommentSubject"/>
    <w:uiPriority w:val="99"/>
    <w:semiHidden/>
    <w:rsid w:val="00765EC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11006">
      <w:bodyDiv w:val="1"/>
      <w:marLeft w:val="0"/>
      <w:marRight w:val="0"/>
      <w:marTop w:val="0"/>
      <w:marBottom w:val="0"/>
      <w:divBdr>
        <w:top w:val="none" w:sz="0" w:space="0" w:color="auto"/>
        <w:left w:val="none" w:sz="0" w:space="0" w:color="auto"/>
        <w:bottom w:val="none" w:sz="0" w:space="0" w:color="auto"/>
        <w:right w:val="none" w:sz="0" w:space="0" w:color="auto"/>
      </w:divBdr>
    </w:div>
    <w:div w:id="241918625">
      <w:bodyDiv w:val="1"/>
      <w:marLeft w:val="0"/>
      <w:marRight w:val="0"/>
      <w:marTop w:val="0"/>
      <w:marBottom w:val="0"/>
      <w:divBdr>
        <w:top w:val="none" w:sz="0" w:space="0" w:color="auto"/>
        <w:left w:val="none" w:sz="0" w:space="0" w:color="auto"/>
        <w:bottom w:val="none" w:sz="0" w:space="0" w:color="auto"/>
        <w:right w:val="none" w:sz="0" w:space="0" w:color="auto"/>
      </w:divBdr>
    </w:div>
    <w:div w:id="488903920">
      <w:bodyDiv w:val="1"/>
      <w:marLeft w:val="0"/>
      <w:marRight w:val="0"/>
      <w:marTop w:val="0"/>
      <w:marBottom w:val="0"/>
      <w:divBdr>
        <w:top w:val="none" w:sz="0" w:space="0" w:color="auto"/>
        <w:left w:val="none" w:sz="0" w:space="0" w:color="auto"/>
        <w:bottom w:val="none" w:sz="0" w:space="0" w:color="auto"/>
        <w:right w:val="none" w:sz="0" w:space="0" w:color="auto"/>
      </w:divBdr>
    </w:div>
    <w:div w:id="627975312">
      <w:bodyDiv w:val="1"/>
      <w:marLeft w:val="0"/>
      <w:marRight w:val="0"/>
      <w:marTop w:val="0"/>
      <w:marBottom w:val="0"/>
      <w:divBdr>
        <w:top w:val="none" w:sz="0" w:space="0" w:color="auto"/>
        <w:left w:val="none" w:sz="0" w:space="0" w:color="auto"/>
        <w:bottom w:val="none" w:sz="0" w:space="0" w:color="auto"/>
        <w:right w:val="none" w:sz="0" w:space="0" w:color="auto"/>
      </w:divBdr>
    </w:div>
    <w:div w:id="859274211">
      <w:bodyDiv w:val="1"/>
      <w:marLeft w:val="0"/>
      <w:marRight w:val="0"/>
      <w:marTop w:val="0"/>
      <w:marBottom w:val="0"/>
      <w:divBdr>
        <w:top w:val="none" w:sz="0" w:space="0" w:color="auto"/>
        <w:left w:val="none" w:sz="0" w:space="0" w:color="auto"/>
        <w:bottom w:val="none" w:sz="0" w:space="0" w:color="auto"/>
        <w:right w:val="none" w:sz="0" w:space="0" w:color="auto"/>
      </w:divBdr>
    </w:div>
    <w:div w:id="872154059">
      <w:bodyDiv w:val="1"/>
      <w:marLeft w:val="0"/>
      <w:marRight w:val="0"/>
      <w:marTop w:val="0"/>
      <w:marBottom w:val="0"/>
      <w:divBdr>
        <w:top w:val="none" w:sz="0" w:space="0" w:color="auto"/>
        <w:left w:val="none" w:sz="0" w:space="0" w:color="auto"/>
        <w:bottom w:val="none" w:sz="0" w:space="0" w:color="auto"/>
        <w:right w:val="none" w:sz="0" w:space="0" w:color="auto"/>
      </w:divBdr>
    </w:div>
    <w:div w:id="933825438">
      <w:bodyDiv w:val="1"/>
      <w:marLeft w:val="0"/>
      <w:marRight w:val="0"/>
      <w:marTop w:val="0"/>
      <w:marBottom w:val="0"/>
      <w:divBdr>
        <w:top w:val="none" w:sz="0" w:space="0" w:color="auto"/>
        <w:left w:val="none" w:sz="0" w:space="0" w:color="auto"/>
        <w:bottom w:val="none" w:sz="0" w:space="0" w:color="auto"/>
        <w:right w:val="none" w:sz="0" w:space="0" w:color="auto"/>
      </w:divBdr>
    </w:div>
    <w:div w:id="1326977719">
      <w:bodyDiv w:val="1"/>
      <w:marLeft w:val="0"/>
      <w:marRight w:val="0"/>
      <w:marTop w:val="0"/>
      <w:marBottom w:val="0"/>
      <w:divBdr>
        <w:top w:val="none" w:sz="0" w:space="0" w:color="auto"/>
        <w:left w:val="none" w:sz="0" w:space="0" w:color="auto"/>
        <w:bottom w:val="none" w:sz="0" w:space="0" w:color="auto"/>
        <w:right w:val="none" w:sz="0" w:space="0" w:color="auto"/>
      </w:divBdr>
    </w:div>
    <w:div w:id="1436289218">
      <w:bodyDiv w:val="1"/>
      <w:marLeft w:val="0"/>
      <w:marRight w:val="0"/>
      <w:marTop w:val="0"/>
      <w:marBottom w:val="0"/>
      <w:divBdr>
        <w:top w:val="none" w:sz="0" w:space="0" w:color="auto"/>
        <w:left w:val="none" w:sz="0" w:space="0" w:color="auto"/>
        <w:bottom w:val="none" w:sz="0" w:space="0" w:color="auto"/>
        <w:right w:val="none" w:sz="0" w:space="0" w:color="auto"/>
      </w:divBdr>
    </w:div>
    <w:div w:id="1507283516">
      <w:bodyDiv w:val="1"/>
      <w:marLeft w:val="0"/>
      <w:marRight w:val="0"/>
      <w:marTop w:val="0"/>
      <w:marBottom w:val="0"/>
      <w:divBdr>
        <w:top w:val="none" w:sz="0" w:space="0" w:color="auto"/>
        <w:left w:val="none" w:sz="0" w:space="0" w:color="auto"/>
        <w:bottom w:val="none" w:sz="0" w:space="0" w:color="auto"/>
        <w:right w:val="none" w:sz="0" w:space="0" w:color="auto"/>
      </w:divBdr>
    </w:div>
    <w:div w:id="1533496592">
      <w:bodyDiv w:val="1"/>
      <w:marLeft w:val="0"/>
      <w:marRight w:val="0"/>
      <w:marTop w:val="0"/>
      <w:marBottom w:val="0"/>
      <w:divBdr>
        <w:top w:val="none" w:sz="0" w:space="0" w:color="auto"/>
        <w:left w:val="none" w:sz="0" w:space="0" w:color="auto"/>
        <w:bottom w:val="none" w:sz="0" w:space="0" w:color="auto"/>
        <w:right w:val="none" w:sz="0" w:space="0" w:color="auto"/>
      </w:divBdr>
    </w:div>
    <w:div w:id="1580096567">
      <w:bodyDiv w:val="1"/>
      <w:marLeft w:val="0"/>
      <w:marRight w:val="0"/>
      <w:marTop w:val="0"/>
      <w:marBottom w:val="0"/>
      <w:divBdr>
        <w:top w:val="none" w:sz="0" w:space="0" w:color="auto"/>
        <w:left w:val="none" w:sz="0" w:space="0" w:color="auto"/>
        <w:bottom w:val="none" w:sz="0" w:space="0" w:color="auto"/>
        <w:right w:val="none" w:sz="0" w:space="0" w:color="auto"/>
      </w:divBdr>
    </w:div>
    <w:div w:id="2002931271">
      <w:bodyDiv w:val="1"/>
      <w:marLeft w:val="0"/>
      <w:marRight w:val="0"/>
      <w:marTop w:val="0"/>
      <w:marBottom w:val="0"/>
      <w:divBdr>
        <w:top w:val="none" w:sz="0" w:space="0" w:color="auto"/>
        <w:left w:val="none" w:sz="0" w:space="0" w:color="auto"/>
        <w:bottom w:val="none" w:sz="0" w:space="0" w:color="auto"/>
        <w:right w:val="none" w:sz="0" w:space="0" w:color="auto"/>
      </w:divBdr>
    </w:div>
    <w:div w:id="2003118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2685</Words>
  <Characters>15305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Rahemzadh, Eiliya T</dc:creator>
  <cp:keywords/>
  <dc:description/>
  <cp:lastModifiedBy>Steinwand, Martin C</cp:lastModifiedBy>
  <cp:revision>2</cp:revision>
  <dcterms:created xsi:type="dcterms:W3CDTF">2026-01-04T15:33:00Z</dcterms:created>
  <dcterms:modified xsi:type="dcterms:W3CDTF">2026-01-04T15:33:00Z</dcterms:modified>
</cp:coreProperties>
</file>