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E68C8" w14:textId="77777777" w:rsidR="00140B73" w:rsidRPr="00746C00" w:rsidRDefault="00140B73" w:rsidP="00140B73">
      <w:pPr>
        <w:spacing w:before="100" w:beforeAutospacing="1" w:after="100" w:afterAutospacing="1" w:line="480" w:lineRule="auto"/>
        <w:jc w:val="both"/>
        <w:rPr>
          <w:rFonts w:ascii="Arial" w:hAnsi="Arial" w:cs="Arial"/>
          <w:color w:val="000000" w:themeColor="text1"/>
        </w:rPr>
      </w:pPr>
      <w:r w:rsidRPr="00746C00">
        <w:rPr>
          <w:rFonts w:ascii="Arial" w:hAnsi="Arial" w:cs="Arial"/>
          <w:b/>
          <w:bCs/>
          <w:color w:val="000000" w:themeColor="text1"/>
        </w:rPr>
        <w:t>Table. Genetic Trait Orthogonality Analysis</w:t>
      </w:r>
    </w:p>
    <w:tbl>
      <w:tblPr>
        <w:tblStyle w:val="GridTable1Light-Accent1"/>
        <w:tblW w:w="9132" w:type="dxa"/>
        <w:tblLook w:val="04A0" w:firstRow="1" w:lastRow="0" w:firstColumn="1" w:lastColumn="0" w:noHBand="0" w:noVBand="1"/>
      </w:tblPr>
      <w:tblGrid>
        <w:gridCol w:w="5801"/>
        <w:gridCol w:w="1802"/>
        <w:gridCol w:w="1529"/>
      </w:tblGrid>
      <w:tr w:rsidR="00140B73" w:rsidRPr="004E21B8" w14:paraId="01A85960" w14:textId="77777777" w:rsidTr="000D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69AF2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Trait Pair</w:t>
            </w:r>
          </w:p>
        </w:tc>
        <w:tc>
          <w:tcPr>
            <w:tcW w:w="0" w:type="auto"/>
            <w:hideMark/>
          </w:tcPr>
          <w:p w14:paraId="73230B08" w14:textId="77777777" w:rsidR="00140B73" w:rsidRPr="00746C00" w:rsidRDefault="00140B73" w:rsidP="000D18E8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Correlation</w:t>
            </w:r>
          </w:p>
        </w:tc>
        <w:tc>
          <w:tcPr>
            <w:tcW w:w="0" w:type="auto"/>
            <w:hideMark/>
          </w:tcPr>
          <w:p w14:paraId="226B18EF" w14:textId="77777777" w:rsidR="00140B73" w:rsidRPr="00746C00" w:rsidRDefault="00140B73" w:rsidP="000D18E8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Strength</w:t>
            </w:r>
          </w:p>
        </w:tc>
      </w:tr>
      <w:tr w:rsidR="00140B73" w:rsidRPr="004E21B8" w14:paraId="20902BEB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97578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Nasal Width vs PRS</w:t>
            </w:r>
          </w:p>
        </w:tc>
        <w:tc>
          <w:tcPr>
            <w:tcW w:w="0" w:type="auto"/>
            <w:hideMark/>
          </w:tcPr>
          <w:p w14:paraId="789C3BE8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–0.22</w:t>
            </w:r>
          </w:p>
        </w:tc>
        <w:tc>
          <w:tcPr>
            <w:tcW w:w="0" w:type="auto"/>
            <w:hideMark/>
          </w:tcPr>
          <w:p w14:paraId="1CB32B48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Weak</w:t>
            </w:r>
          </w:p>
        </w:tc>
      </w:tr>
      <w:tr w:rsidR="00140B73" w:rsidRPr="004E21B8" w14:paraId="0EEC7C3C" w14:textId="77777777" w:rsidTr="000D18E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1AA24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Cheekbone Height vs Dopamine Sensitivity</w:t>
            </w:r>
          </w:p>
        </w:tc>
        <w:tc>
          <w:tcPr>
            <w:tcW w:w="0" w:type="auto"/>
            <w:hideMark/>
          </w:tcPr>
          <w:p w14:paraId="331903C4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–0.21</w:t>
            </w:r>
          </w:p>
        </w:tc>
        <w:tc>
          <w:tcPr>
            <w:tcW w:w="0" w:type="auto"/>
            <w:hideMark/>
          </w:tcPr>
          <w:p w14:paraId="61B24420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Weak</w:t>
            </w:r>
          </w:p>
        </w:tc>
      </w:tr>
      <w:tr w:rsidR="00140B73" w:rsidRPr="004E21B8" w14:paraId="7D2E9510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6BFE6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Philtrum Depth vs Perceptual Reactivity</w:t>
            </w:r>
          </w:p>
        </w:tc>
        <w:tc>
          <w:tcPr>
            <w:tcW w:w="0" w:type="auto"/>
            <w:hideMark/>
          </w:tcPr>
          <w:p w14:paraId="7DDC9392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–0.19</w:t>
            </w:r>
          </w:p>
        </w:tc>
        <w:tc>
          <w:tcPr>
            <w:tcW w:w="0" w:type="auto"/>
            <w:hideMark/>
          </w:tcPr>
          <w:p w14:paraId="12165103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Weak</w:t>
            </w:r>
          </w:p>
        </w:tc>
      </w:tr>
      <w:tr w:rsidR="00140B73" w:rsidRPr="004E21B8" w14:paraId="67EDD253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970C2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Jaw Angle vs PRS</w:t>
            </w:r>
          </w:p>
        </w:tc>
        <w:tc>
          <w:tcPr>
            <w:tcW w:w="0" w:type="auto"/>
            <w:hideMark/>
          </w:tcPr>
          <w:p w14:paraId="0E07BC8A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–0.18</w:t>
            </w:r>
          </w:p>
        </w:tc>
        <w:tc>
          <w:tcPr>
            <w:tcW w:w="0" w:type="auto"/>
            <w:hideMark/>
          </w:tcPr>
          <w:p w14:paraId="59D8A990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Weak</w:t>
            </w:r>
          </w:p>
        </w:tc>
      </w:tr>
      <w:tr w:rsidR="00140B73" w:rsidRPr="004E21B8" w14:paraId="00E9217C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AB244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Chin Projection vs Amygdala Reactivity</w:t>
            </w:r>
          </w:p>
        </w:tc>
        <w:tc>
          <w:tcPr>
            <w:tcW w:w="0" w:type="auto"/>
            <w:hideMark/>
          </w:tcPr>
          <w:p w14:paraId="148594B3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–0.15</w:t>
            </w:r>
          </w:p>
        </w:tc>
        <w:tc>
          <w:tcPr>
            <w:tcW w:w="0" w:type="auto"/>
            <w:hideMark/>
          </w:tcPr>
          <w:p w14:paraId="63A66121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Weak</w:t>
            </w:r>
          </w:p>
        </w:tc>
      </w:tr>
      <w:tr w:rsidR="00140B73" w:rsidRPr="004E21B8" w14:paraId="0C0FD454" w14:textId="77777777" w:rsidTr="000D18E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63425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Lip Fullness vs Skin Elasticity</w:t>
            </w:r>
          </w:p>
        </w:tc>
        <w:tc>
          <w:tcPr>
            <w:tcW w:w="0" w:type="auto"/>
            <w:hideMark/>
          </w:tcPr>
          <w:p w14:paraId="0AFB155C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–0.13</w:t>
            </w:r>
          </w:p>
        </w:tc>
        <w:tc>
          <w:tcPr>
            <w:tcW w:w="0" w:type="auto"/>
            <w:hideMark/>
          </w:tcPr>
          <w:p w14:paraId="5D6F25F3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Weak</w:t>
            </w:r>
          </w:p>
        </w:tc>
      </w:tr>
      <w:tr w:rsidR="00140B73" w:rsidRPr="004E21B8" w14:paraId="581ACB7A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14BBE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Eye Width vs Social Reward Processing</w:t>
            </w:r>
          </w:p>
        </w:tc>
        <w:tc>
          <w:tcPr>
            <w:tcW w:w="0" w:type="auto"/>
            <w:hideMark/>
          </w:tcPr>
          <w:p w14:paraId="07D39ED4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–0.11</w:t>
            </w:r>
          </w:p>
        </w:tc>
        <w:tc>
          <w:tcPr>
            <w:tcW w:w="0" w:type="auto"/>
            <w:hideMark/>
          </w:tcPr>
          <w:p w14:paraId="5C80E695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Weak</w:t>
            </w:r>
          </w:p>
        </w:tc>
      </w:tr>
      <w:tr w:rsidR="00140B73" w:rsidRPr="004E21B8" w14:paraId="66D6B18C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CEFFF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Forehead Slope vs OXTR Sensitivity</w:t>
            </w:r>
          </w:p>
        </w:tc>
        <w:tc>
          <w:tcPr>
            <w:tcW w:w="0" w:type="auto"/>
            <w:hideMark/>
          </w:tcPr>
          <w:p w14:paraId="008FD9F7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–0.08</w:t>
            </w:r>
          </w:p>
        </w:tc>
        <w:tc>
          <w:tcPr>
            <w:tcW w:w="0" w:type="auto"/>
            <w:hideMark/>
          </w:tcPr>
          <w:p w14:paraId="29A9816B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Negligible</w:t>
            </w:r>
          </w:p>
        </w:tc>
      </w:tr>
      <w:tr w:rsidR="00140B73" w:rsidRPr="004E21B8" w14:paraId="6B2F579C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63EBB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Nasal Width vs Emotional Reactivity</w:t>
            </w:r>
          </w:p>
        </w:tc>
        <w:tc>
          <w:tcPr>
            <w:tcW w:w="0" w:type="auto"/>
            <w:hideMark/>
          </w:tcPr>
          <w:p w14:paraId="4E817F9F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–0.12</w:t>
            </w:r>
          </w:p>
        </w:tc>
        <w:tc>
          <w:tcPr>
            <w:tcW w:w="0" w:type="auto"/>
            <w:hideMark/>
          </w:tcPr>
          <w:p w14:paraId="5909E1FC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Weak</w:t>
            </w:r>
          </w:p>
        </w:tc>
      </w:tr>
      <w:tr w:rsidR="00140B73" w:rsidRPr="004E21B8" w14:paraId="6E4237C2" w14:textId="77777777" w:rsidTr="000D18E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0FE6D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Jaw Angle vs Lip Fullness</w:t>
            </w:r>
          </w:p>
        </w:tc>
        <w:tc>
          <w:tcPr>
            <w:tcW w:w="0" w:type="auto"/>
            <w:hideMark/>
          </w:tcPr>
          <w:p w14:paraId="626D4DB9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+0.08</w:t>
            </w:r>
          </w:p>
        </w:tc>
        <w:tc>
          <w:tcPr>
            <w:tcW w:w="0" w:type="auto"/>
            <w:hideMark/>
          </w:tcPr>
          <w:p w14:paraId="164B9FE8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Negligible</w:t>
            </w:r>
          </w:p>
        </w:tc>
      </w:tr>
      <w:tr w:rsidR="00140B73" w:rsidRPr="004E21B8" w14:paraId="2A2B8E31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1FB51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Chin Projection vs Reward Sensitivity</w:t>
            </w:r>
          </w:p>
        </w:tc>
        <w:tc>
          <w:tcPr>
            <w:tcW w:w="0" w:type="auto"/>
            <w:hideMark/>
          </w:tcPr>
          <w:p w14:paraId="32F35D92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+0.07</w:t>
            </w:r>
          </w:p>
        </w:tc>
        <w:tc>
          <w:tcPr>
            <w:tcW w:w="0" w:type="auto"/>
            <w:hideMark/>
          </w:tcPr>
          <w:p w14:paraId="3D59695B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Negligible</w:t>
            </w:r>
          </w:p>
        </w:tc>
      </w:tr>
      <w:tr w:rsidR="00140B73" w:rsidRPr="004E21B8" w14:paraId="0C99C36E" w14:textId="77777777" w:rsidTr="000D18E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AC83D" w14:textId="77777777" w:rsidR="00140B73" w:rsidRPr="00746C00" w:rsidRDefault="00140B73" w:rsidP="000D18E8">
            <w:pPr>
              <w:spacing w:line="480" w:lineRule="aut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46C00">
              <w:rPr>
                <w:rFonts w:ascii="Arial" w:hAnsi="Arial" w:cs="Arial"/>
                <w:b w:val="0"/>
                <w:bCs w:val="0"/>
                <w:color w:val="000000" w:themeColor="text1"/>
              </w:rPr>
              <w:t>Lip Fullness vs PRS</w:t>
            </w:r>
          </w:p>
        </w:tc>
        <w:tc>
          <w:tcPr>
            <w:tcW w:w="0" w:type="auto"/>
            <w:hideMark/>
          </w:tcPr>
          <w:p w14:paraId="26E0AF38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+0.05</w:t>
            </w:r>
          </w:p>
        </w:tc>
        <w:tc>
          <w:tcPr>
            <w:tcW w:w="0" w:type="auto"/>
            <w:hideMark/>
          </w:tcPr>
          <w:p w14:paraId="14AEAFC5" w14:textId="77777777" w:rsidR="00140B73" w:rsidRPr="00746C00" w:rsidRDefault="00140B73" w:rsidP="000D18E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46C00">
              <w:rPr>
                <w:rFonts w:ascii="Arial" w:hAnsi="Arial" w:cs="Arial"/>
                <w:color w:val="000000" w:themeColor="text1"/>
              </w:rPr>
              <w:t>Negligible</w:t>
            </w:r>
          </w:p>
        </w:tc>
      </w:tr>
    </w:tbl>
    <w:p w14:paraId="4F779F96" w14:textId="77777777" w:rsidR="00B44BD7" w:rsidRPr="00140B73" w:rsidRDefault="00B44BD7" w:rsidP="00140B73"/>
    <w:sectPr w:rsidR="00B44BD7" w:rsidRPr="0014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6"/>
    <w:rsid w:val="00140B73"/>
    <w:rsid w:val="00290D75"/>
    <w:rsid w:val="004E2482"/>
    <w:rsid w:val="00583C85"/>
    <w:rsid w:val="009C40C8"/>
    <w:rsid w:val="00A469B0"/>
    <w:rsid w:val="00B44BD7"/>
    <w:rsid w:val="00CE7C30"/>
    <w:rsid w:val="00D865E6"/>
    <w:rsid w:val="00E07E02"/>
    <w:rsid w:val="00EB2422"/>
    <w:rsid w:val="00F4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151A"/>
  <w15:chartTrackingRefBased/>
  <w15:docId w15:val="{8FC3D816-C83F-434D-A282-B1C3491B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E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E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E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E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E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5E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41BFA"/>
    <w:rPr>
      <w:i/>
      <w:iCs/>
    </w:rPr>
  </w:style>
  <w:style w:type="table" w:styleId="GridTable1Light-Accent1">
    <w:name w:val="Grid Table 1 Light Accent 1"/>
    <w:basedOn w:val="TableNormal"/>
    <w:uiPriority w:val="46"/>
    <w:rsid w:val="00F41BF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Eqram Rahman</dc:creator>
  <cp:keywords/>
  <dc:description/>
  <cp:lastModifiedBy>Eqram Rahman</cp:lastModifiedBy>
  <cp:revision>2</cp:revision>
  <dcterms:created xsi:type="dcterms:W3CDTF">2025-06-21T10:34:00Z</dcterms:created>
  <dcterms:modified xsi:type="dcterms:W3CDTF">2025-06-21T10:34:00Z</dcterms:modified>
</cp:coreProperties>
</file>