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w:t>
      </w:r>
      <w:r w:rsidR="006E5DE5">
        <w:rPr>
          <w:rFonts w:ascii="Arial" w:eastAsia="Times New Roman" w:hAnsi="Arial" w:cs="Arial"/>
          <w:bCs/>
          <w:lang w:eastAsia="de-DE"/>
        </w:rPr>
        <w:t>Fort he purpose oft he project and in ordert to answer the research question, a case study was conducted where a simple application for learning German was developed by using established web development technologies like HTML, CSS and JavaScript on one hand and the low-code development platfrom Zoho Creator on the other.</w:t>
      </w:r>
      <w:r w:rsidR="001C6FD1">
        <w:rPr>
          <w:rFonts w:ascii="Arial" w:eastAsia="Times New Roman" w:hAnsi="Arial" w:cs="Arial"/>
          <w:bCs/>
          <w:lang w:eastAsia="de-DE"/>
        </w:rPr>
        <w:t xml:space="preserve"> The </w:t>
      </w:r>
      <w:r w:rsidR="004D76BD">
        <w:rPr>
          <w:rFonts w:ascii="Arial" w:eastAsia="Times New Roman" w:hAnsi="Arial" w:cs="Arial"/>
          <w:bCs/>
          <w:lang w:eastAsia="de-DE"/>
        </w:rPr>
        <w:t>experiment aimed to discover which one oft he two development methods is more suitable for programming the</w:t>
      </w:r>
      <w:r w:rsidR="00852C77">
        <w:rPr>
          <w:rFonts w:ascii="Arial" w:eastAsia="Times New Roman" w:hAnsi="Arial" w:cs="Arial"/>
          <w:bCs/>
          <w:lang w:eastAsia="de-DE"/>
        </w:rPr>
        <w:t xml:space="preserve"> conceived</w:t>
      </w:r>
      <w:r w:rsidR="00374ADA">
        <w:rPr>
          <w:rFonts w:ascii="Arial" w:eastAsia="Times New Roman" w:hAnsi="Arial" w:cs="Arial"/>
          <w:bCs/>
          <w:lang w:eastAsia="de-DE"/>
        </w:rPr>
        <w:t xml:space="preserve"> learning</w:t>
      </w:r>
      <w:r w:rsidR="004D76BD">
        <w:rPr>
          <w:rFonts w:ascii="Arial" w:eastAsia="Times New Roman" w:hAnsi="Arial" w:cs="Arial"/>
          <w:bCs/>
          <w:lang w:eastAsia="de-DE"/>
        </w:rPr>
        <w:t xml:space="preserve"> ap</w:t>
      </w:r>
      <w:r w:rsidR="007B2037">
        <w:rPr>
          <w:rFonts w:ascii="Arial" w:eastAsia="Times New Roman" w:hAnsi="Arial" w:cs="Arial"/>
          <w:bCs/>
          <w:lang w:eastAsia="de-DE"/>
        </w:rPr>
        <w:t>p</w:t>
      </w:r>
      <w:r w:rsidR="004D76BD">
        <w:rPr>
          <w:rFonts w:ascii="Arial" w:eastAsia="Times New Roman" w:hAnsi="Arial" w:cs="Arial"/>
          <w:bCs/>
          <w:lang w:eastAsia="de-DE"/>
        </w:rPr>
        <w:t xml:space="preserve">lication </w:t>
      </w:r>
      <w:r w:rsidR="00D2119F">
        <w:rPr>
          <w:rFonts w:ascii="Arial" w:eastAsia="Times New Roman" w:hAnsi="Arial" w:cs="Arial"/>
          <w:bCs/>
          <w:lang w:eastAsia="de-DE"/>
        </w:rPr>
        <w:t>and its</w:t>
      </w:r>
      <w:r w:rsidR="007B2037">
        <w:rPr>
          <w:rFonts w:ascii="Arial" w:eastAsia="Times New Roman" w:hAnsi="Arial" w:cs="Arial"/>
          <w:bCs/>
          <w:lang w:eastAsia="de-DE"/>
        </w:rPr>
        <w:t xml:space="preserve"> planned featur</w:t>
      </w:r>
      <w:r w:rsidR="00D2119F">
        <w:rPr>
          <w:rFonts w:ascii="Arial" w:eastAsia="Times New Roman" w:hAnsi="Arial" w:cs="Arial"/>
          <w:bCs/>
          <w:lang w:eastAsia="de-DE"/>
        </w:rPr>
        <w:t>es such as links between the application’s pages, manipulation of ist ui-elements</w:t>
      </w:r>
      <w:r w:rsidR="00BC60DA">
        <w:rPr>
          <w:rFonts w:ascii="Arial" w:eastAsia="Times New Roman" w:hAnsi="Arial" w:cs="Arial"/>
          <w:bCs/>
          <w:lang w:eastAsia="de-DE"/>
        </w:rPr>
        <w:t xml:space="preserve"> and the graphical i.e. visual and functional customization of forms.</w:t>
      </w:r>
      <w:r w:rsidR="005D47A3">
        <w:rPr>
          <w:rFonts w:ascii="Arial" w:eastAsia="Times New Roman" w:hAnsi="Arial" w:cs="Arial"/>
          <w:bCs/>
          <w:lang w:eastAsia="de-DE"/>
        </w:rPr>
        <w:t xml:space="preserve"> The results show that development through high-code allows for the </w:t>
      </w:r>
      <w:r w:rsidR="007A5141">
        <w:rPr>
          <w:rFonts w:ascii="Arial" w:eastAsia="Times New Roman" w:hAnsi="Arial" w:cs="Arial"/>
          <w:bCs/>
          <w:lang w:eastAsia="de-DE"/>
        </w:rPr>
        <w:t xml:space="preserve">application’s requirements tob e met to a higher level because standard development </w:t>
      </w:r>
      <w:r w:rsidR="002D76F8">
        <w:rPr>
          <w:rFonts w:ascii="Arial" w:eastAsia="Times New Roman" w:hAnsi="Arial" w:cs="Arial"/>
          <w:bCs/>
          <w:lang w:eastAsia="de-DE"/>
        </w:rPr>
        <w:t xml:space="preserve">offers more </w:t>
      </w:r>
      <w:r w:rsidR="002D4483">
        <w:rPr>
          <w:rFonts w:ascii="Arial" w:eastAsia="Times New Roman" w:hAnsi="Arial" w:cs="Arial"/>
          <w:bCs/>
          <w:lang w:eastAsia="de-DE"/>
        </w:rPr>
        <w:t xml:space="preserve">customization opportunities. </w:t>
      </w:r>
      <w:r w:rsidR="00B73F65">
        <w:rPr>
          <w:rFonts w:ascii="Arial" w:eastAsia="Times New Roman" w:hAnsi="Arial" w:cs="Arial"/>
          <w:bCs/>
          <w:lang w:eastAsia="de-DE"/>
        </w:rPr>
        <w:t xml:space="preserve">Low-code development offers more of an advantage in terms of </w:t>
      </w:r>
      <w:r w:rsidR="000772BD">
        <w:rPr>
          <w:rFonts w:ascii="Arial" w:eastAsia="Times New Roman" w:hAnsi="Arial" w:cs="Arial"/>
          <w:bCs/>
          <w:lang w:eastAsia="de-DE"/>
        </w:rPr>
        <w:t xml:space="preserve">coding an application with less programming skills, which in terms makes the application less </w:t>
      </w:r>
      <w:r w:rsidR="008D32A8">
        <w:rPr>
          <w:rFonts w:ascii="Arial" w:eastAsia="Times New Roman" w:hAnsi="Arial" w:cs="Arial"/>
          <w:bCs/>
          <w:lang w:eastAsia="de-DE"/>
        </w:rPr>
        <w:t xml:space="preserve">technically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Key words</w:t>
      </w:r>
      <w:r>
        <w:rPr>
          <w:rFonts w:ascii="Arial" w:eastAsia="Times New Roman" w:hAnsi="Arial" w:cs="Arial"/>
          <w:bCs/>
          <w:lang w:eastAsia="de-DE"/>
        </w:rPr>
        <w:t xml:space="preserve">: </w:t>
      </w:r>
      <w:r w:rsidR="003C079C">
        <w:rPr>
          <w:rFonts w:ascii="Arial" w:eastAsia="Times New Roman" w:hAnsi="Arial" w:cs="Arial"/>
          <w:bCs/>
          <w:lang w:eastAsia="de-DE"/>
        </w:rPr>
        <w:t>high-code, low-code, software development, application</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0FE3F3B0" w:rsidR="0044326A" w:rsidRPr="007B50EC"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Iron Triangle</w:t>
      </w:r>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No-Code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Anwender, die über formale Programmierkenntnisse nicht verfügen (Di Ruscio et al., 2022</w:t>
      </w:r>
      <w:r w:rsidR="000115B6">
        <w:rPr>
          <w:rFonts w:ascii="Arial" w:hAnsi="Arial" w:cs="Arial"/>
        </w:rPr>
        <w:t>, S. 437</w:t>
      </w:r>
      <w:r w:rsidR="00441516">
        <w:rPr>
          <w:rFonts w:ascii="Arial" w:hAnsi="Arial" w:cs="Arial"/>
        </w:rPr>
        <w:t>)</w:t>
      </w:r>
      <w:r w:rsidR="000115B6">
        <w:rPr>
          <w:rFonts w:ascii="Arial" w:hAnsi="Arial" w:cs="Arial"/>
        </w:rPr>
        <w:t>.</w:t>
      </w:r>
    </w:p>
    <w:p w14:paraId="2C121229" w14:textId="32A0A7BB" w:rsidR="000C6DD1" w:rsidRDefault="000C6DD1" w:rsidP="0079473C">
      <w:pPr>
        <w:spacing w:after="120" w:line="360" w:lineRule="auto"/>
        <w:jc w:val="both"/>
        <w:rPr>
          <w:rFonts w:ascii="Arial" w:hAnsi="Arial" w:cs="Arial"/>
        </w:rPr>
      </w:pPr>
      <w:r>
        <w:rPr>
          <w:rFonts w:ascii="Arial" w:hAnsi="Arial" w:cs="Arial"/>
          <w:b/>
          <w:bCs/>
        </w:rPr>
        <w:t>Fusion Development</w:t>
      </w:r>
      <w:r w:rsidR="0079473C">
        <w:rPr>
          <w:rFonts w:ascii="Arial" w:hAnsi="Arial" w:cs="Arial"/>
        </w:rPr>
        <w:t>: Softwareentwicklungsmodell, bei dem sich professionelle, ausgebildete Softwareentwickler sich auf komplexe Aufgaben wie die Entwicklung eines Backends oder die Integration in andere Systeme konzentrieren, während Citizen Developer für die Erstellung einer passenden grafischen Benutzeroberfläche zuständig sind</w:t>
      </w:r>
      <w:r w:rsidR="00056FFB">
        <w:rPr>
          <w:rFonts w:ascii="Arial" w:hAnsi="Arial" w:cs="Arial"/>
        </w:rPr>
        <w:t xml:space="preserve"> (Elshan &amp; Binzer, 2024, S. 1077).</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4EFB9B0A" w14:textId="55E1D95F" w:rsidR="00FA2463" w:rsidRDefault="00FA2463" w:rsidP="00124F52">
      <w:pPr>
        <w:spacing w:after="120" w:line="360" w:lineRule="auto"/>
        <w:jc w:val="both"/>
        <w:rPr>
          <w:rFonts w:ascii="Arial" w:hAnsi="Arial" w:cs="Arial"/>
        </w:rPr>
      </w:pPr>
      <w:r>
        <w:rPr>
          <w:rFonts w:ascii="Arial" w:hAnsi="Arial" w:cs="Arial"/>
          <w:b/>
          <w:bCs/>
        </w:rPr>
        <w:t>Power User</w:t>
      </w:r>
      <w:r w:rsidR="00124F52">
        <w:rPr>
          <w:rFonts w:ascii="Arial" w:hAnsi="Arial" w:cs="Arial"/>
        </w:rPr>
        <w:t>: Benutzer, die sich grundlegend mit Datenkonzepten und IT auskennen und daher geeignet sind, digitale Lösungen zu erstellen, ohne tiefgehende Programmierkenntnisse zu besitzen (Elshan &amp; Binzer, 2024, S. 1075).</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Time to Market</w:t>
      </w:r>
      <w:r>
        <w:rPr>
          <w:rFonts w:ascii="Arial" w:hAnsi="Arial" w:cs="Arial"/>
        </w:rPr>
        <w:t xml:space="preserve">: </w:t>
      </w:r>
      <w:r w:rsidR="00070ED6">
        <w:rPr>
          <w:rFonts w:ascii="Arial" w:hAnsi="Arial" w:cs="Arial"/>
        </w:rPr>
        <w:t>die Zeit, die vergeht, bis die Entwicklung einer Produktidee oder ein Serviceangebot reif genug ist, damit eine Platzierung des Produktes bzw. der Dientleistung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Minimum Viable Product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t>
      </w:r>
      <w:r w:rsidR="00B9556B">
        <w:rPr>
          <w:rFonts w:ascii="Arial" w:hAnsi="Arial" w:cs="Arial"/>
        </w:rPr>
        <w:t>Wirtschaftslexikon, 2025</w:t>
      </w:r>
      <w:r w:rsidR="008971CD">
        <w:rPr>
          <w:rFonts w:ascii="Arial" w:hAnsi="Arial" w:cs="Arial"/>
        </w:rPr>
        <w:t xml:space="preserve">). </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27960D53"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Iron Triangle</w:t>
      </w:r>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 Forschung, da der Vergleich der beiden Entwicklungsansätze auch ein Projekt darstellt, für wel</w:t>
      </w:r>
      <w:r w:rsidR="0098760C">
        <w:rPr>
          <w:rFonts w:ascii="Arial" w:hAnsi="Arial" w:cs="Arial"/>
        </w:rPr>
        <w:lastRenderedPageBreak/>
        <w:t>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Iron Triangle</w:t>
      </w:r>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Iron Triangle</w:t>
      </w:r>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Pr="00124F52"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vierte Dimension der Flexibilität ist auch bei der Entwicklung von LexiCode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LexiCode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 xml:space="preserve">Mit „-1“ wurde eine entgegengesetzte Praxiserfahrung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To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LexiCode zu- oder abgewonnen hat. </w:t>
      </w: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789E11C5" w14:textId="77777777" w:rsidR="0085718B" w:rsidRDefault="0085718B" w:rsidP="000E0048">
      <w:pPr>
        <w:spacing w:after="120" w:line="360" w:lineRule="auto"/>
        <w:rPr>
          <w:rFonts w:ascii="Arial" w:hAnsi="Arial" w:cs="Arial"/>
        </w:rPr>
      </w:pPr>
    </w:p>
    <w:p w14:paraId="2F2DA147" w14:textId="77777777" w:rsidR="00FB3C0D" w:rsidRDefault="00FB3C0D" w:rsidP="000E0048">
      <w:pPr>
        <w:spacing w:after="120" w:line="360" w:lineRule="auto"/>
        <w:rPr>
          <w:rFonts w:ascii="Arial" w:hAnsi="Arial" w:cs="Arial"/>
        </w:rPr>
      </w:pPr>
    </w:p>
    <w:p w14:paraId="4975E451" w14:textId="77777777" w:rsidR="00FB3C0D" w:rsidRDefault="00FB3C0D"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Project management: cost, time and quality, two best guesse</w:t>
      </w:r>
      <w:r w:rsidR="00A1247C">
        <w:rPr>
          <w:rFonts w:ascii="Arial" w:hAnsi="Arial" w:cs="Arial"/>
          <w:i/>
          <w:iCs/>
        </w:rPr>
        <w:t>s</w:t>
      </w:r>
      <w:r w:rsidRPr="00F12B7A">
        <w:rPr>
          <w:rFonts w:ascii="Arial" w:hAnsi="Arial" w:cs="Arial"/>
          <w:i/>
          <w:iCs/>
        </w:rPr>
        <w:t xml:space="preserve"> and a phenomenon, i</w:t>
      </w:r>
      <w:r w:rsidR="006B02B9">
        <w:rPr>
          <w:rFonts w:ascii="Arial" w:hAnsi="Arial" w:cs="Arial"/>
          <w:i/>
          <w:iCs/>
        </w:rPr>
        <w:t>t‘s</w:t>
      </w:r>
      <w:r w:rsidRPr="00F12B7A">
        <w:rPr>
          <w:rFonts w:ascii="Arial" w:hAnsi="Arial" w:cs="Arial"/>
          <w:i/>
          <w:iCs/>
        </w:rPr>
        <w:t xml:space="preserve"> time to accept other succes criteria</w:t>
      </w:r>
      <w:r>
        <w:rPr>
          <w:rFonts w:ascii="Arial" w:hAnsi="Arial" w:cs="Arial"/>
        </w:rPr>
        <w:t>. Elsevier Science Ltd.</w:t>
      </w:r>
    </w:p>
    <w:p w14:paraId="6C3A977E" w14:textId="68145F58" w:rsidR="006A4AE6" w:rsidRPr="006A4AE6" w:rsidRDefault="006A4AE6" w:rsidP="00671E9D">
      <w:pPr>
        <w:spacing w:line="360" w:lineRule="auto"/>
        <w:jc w:val="both"/>
        <w:rPr>
          <w:rFonts w:ascii="Arial" w:hAnsi="Arial" w:cs="Arial"/>
        </w:rPr>
      </w:pPr>
      <w:r w:rsidRPr="006A4AE6">
        <w:rPr>
          <w:rFonts w:ascii="Arial" w:hAnsi="Arial" w:cs="Arial"/>
        </w:rPr>
        <w:t xml:space="preserve">Ajimati, </w:t>
      </w:r>
      <w:r>
        <w:rPr>
          <w:rFonts w:ascii="Arial" w:hAnsi="Arial" w:cs="Arial"/>
        </w:rPr>
        <w:t>M. O., Carroll, N. &amp; Maher, M. (2025. Adoption of low-code and no-code development: A systematic literature review and future research agenda.</w:t>
      </w:r>
      <w:r w:rsidR="00771150">
        <w:rPr>
          <w:rFonts w:ascii="Arial" w:hAnsi="Arial" w:cs="Arial"/>
        </w:rPr>
        <w:t xml:space="preserve"> The Journal of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Ruscio, D., Kolovos, D. &amp; De Lara, J. (2022): Low-code development and model-driven engineering: two sides of the same coin?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Minimum Viable Product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to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lastRenderedPageBreak/>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6DF5B" w14:textId="77777777" w:rsidR="0042232D" w:rsidRDefault="0042232D" w:rsidP="000E0048">
      <w:pPr>
        <w:spacing w:after="0" w:line="240" w:lineRule="auto"/>
      </w:pPr>
      <w:r>
        <w:separator/>
      </w:r>
    </w:p>
  </w:endnote>
  <w:endnote w:type="continuationSeparator" w:id="0">
    <w:p w14:paraId="196C95AC" w14:textId="77777777" w:rsidR="0042232D" w:rsidRDefault="0042232D"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B3697E" w:rsidRPr="00B3697E">
          <w:rPr>
            <w:noProof/>
            <w:lang w:val="bg-BG"/>
          </w:rPr>
          <w:t>6</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75026" w14:textId="77777777" w:rsidR="0042232D" w:rsidRDefault="0042232D" w:rsidP="000E0048">
      <w:pPr>
        <w:spacing w:after="0" w:line="240" w:lineRule="auto"/>
      </w:pPr>
      <w:r>
        <w:separator/>
      </w:r>
    </w:p>
  </w:footnote>
  <w:footnote w:type="continuationSeparator" w:id="0">
    <w:p w14:paraId="6BDFCE24" w14:textId="77777777" w:rsidR="0042232D" w:rsidRDefault="0042232D"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29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F18"/>
    <w:rsid w:val="0000394B"/>
    <w:rsid w:val="000045A0"/>
    <w:rsid w:val="00004927"/>
    <w:rsid w:val="00005156"/>
    <w:rsid w:val="00005E91"/>
    <w:rsid w:val="000065C3"/>
    <w:rsid w:val="00006893"/>
    <w:rsid w:val="000105DA"/>
    <w:rsid w:val="0001121F"/>
    <w:rsid w:val="000115B6"/>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8F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0ED6"/>
    <w:rsid w:val="00071355"/>
    <w:rsid w:val="0007195B"/>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39B"/>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4F52"/>
    <w:rsid w:val="0012502A"/>
    <w:rsid w:val="00126687"/>
    <w:rsid w:val="00126FCA"/>
    <w:rsid w:val="0012762B"/>
    <w:rsid w:val="001277E1"/>
    <w:rsid w:val="00127D63"/>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BE4"/>
    <w:rsid w:val="00196CE4"/>
    <w:rsid w:val="0019720D"/>
    <w:rsid w:val="001A0250"/>
    <w:rsid w:val="001A05D4"/>
    <w:rsid w:val="001A2B31"/>
    <w:rsid w:val="001A2ED3"/>
    <w:rsid w:val="001A3E80"/>
    <w:rsid w:val="001A3E85"/>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3C27"/>
    <w:rsid w:val="001F50FA"/>
    <w:rsid w:val="001F5B34"/>
    <w:rsid w:val="001F5F28"/>
    <w:rsid w:val="001F65FE"/>
    <w:rsid w:val="001F7128"/>
    <w:rsid w:val="001F7B59"/>
    <w:rsid w:val="00201E61"/>
    <w:rsid w:val="00201EC3"/>
    <w:rsid w:val="00205670"/>
    <w:rsid w:val="00205E32"/>
    <w:rsid w:val="00205FFB"/>
    <w:rsid w:val="0020663D"/>
    <w:rsid w:val="00206D75"/>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FF"/>
    <w:rsid w:val="00227293"/>
    <w:rsid w:val="002279BC"/>
    <w:rsid w:val="00230450"/>
    <w:rsid w:val="00230BB3"/>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395A"/>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4E82"/>
    <w:rsid w:val="0028574E"/>
    <w:rsid w:val="0028588A"/>
    <w:rsid w:val="00286DC6"/>
    <w:rsid w:val="002874F0"/>
    <w:rsid w:val="00287729"/>
    <w:rsid w:val="00287C1F"/>
    <w:rsid w:val="002900B0"/>
    <w:rsid w:val="00292D50"/>
    <w:rsid w:val="00294134"/>
    <w:rsid w:val="00295812"/>
    <w:rsid w:val="00296142"/>
    <w:rsid w:val="00296C4D"/>
    <w:rsid w:val="00296DFA"/>
    <w:rsid w:val="002A137C"/>
    <w:rsid w:val="002A184F"/>
    <w:rsid w:val="002A21EE"/>
    <w:rsid w:val="002A2564"/>
    <w:rsid w:val="002A29BB"/>
    <w:rsid w:val="002A3F23"/>
    <w:rsid w:val="002A4839"/>
    <w:rsid w:val="002A4FF3"/>
    <w:rsid w:val="002A566E"/>
    <w:rsid w:val="002A5EDD"/>
    <w:rsid w:val="002A632F"/>
    <w:rsid w:val="002A6981"/>
    <w:rsid w:val="002A6B57"/>
    <w:rsid w:val="002A7CFB"/>
    <w:rsid w:val="002B120D"/>
    <w:rsid w:val="002B2453"/>
    <w:rsid w:val="002B3757"/>
    <w:rsid w:val="002B3793"/>
    <w:rsid w:val="002B46E8"/>
    <w:rsid w:val="002B4A00"/>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0FD5"/>
    <w:rsid w:val="002D197C"/>
    <w:rsid w:val="002D1ADB"/>
    <w:rsid w:val="002D1C2A"/>
    <w:rsid w:val="002D3713"/>
    <w:rsid w:val="002D3EA8"/>
    <w:rsid w:val="002D4483"/>
    <w:rsid w:val="002D4500"/>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B00"/>
    <w:rsid w:val="00307EC7"/>
    <w:rsid w:val="00310741"/>
    <w:rsid w:val="0031128E"/>
    <w:rsid w:val="003113EC"/>
    <w:rsid w:val="00311F1D"/>
    <w:rsid w:val="003134E1"/>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38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234F"/>
    <w:rsid w:val="003F2848"/>
    <w:rsid w:val="003F2BA8"/>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3A63"/>
    <w:rsid w:val="00414700"/>
    <w:rsid w:val="00415326"/>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850"/>
    <w:rsid w:val="0046288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E80"/>
    <w:rsid w:val="00492221"/>
    <w:rsid w:val="0049319C"/>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7246"/>
    <w:rsid w:val="004D76BD"/>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D2A"/>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376F9"/>
    <w:rsid w:val="0064008C"/>
    <w:rsid w:val="0064184B"/>
    <w:rsid w:val="006420AE"/>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4C5"/>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E9A"/>
    <w:rsid w:val="00686A0A"/>
    <w:rsid w:val="006872D7"/>
    <w:rsid w:val="006879D2"/>
    <w:rsid w:val="00690B29"/>
    <w:rsid w:val="00690C79"/>
    <w:rsid w:val="00691054"/>
    <w:rsid w:val="00691538"/>
    <w:rsid w:val="0069207E"/>
    <w:rsid w:val="00692D5E"/>
    <w:rsid w:val="00693747"/>
    <w:rsid w:val="0069442D"/>
    <w:rsid w:val="006947CD"/>
    <w:rsid w:val="00694E45"/>
    <w:rsid w:val="00695B62"/>
    <w:rsid w:val="00696311"/>
    <w:rsid w:val="006964A7"/>
    <w:rsid w:val="00697F22"/>
    <w:rsid w:val="006A1602"/>
    <w:rsid w:val="006A3D0A"/>
    <w:rsid w:val="006A45A5"/>
    <w:rsid w:val="006A4AE6"/>
    <w:rsid w:val="006A4B99"/>
    <w:rsid w:val="006A4BD0"/>
    <w:rsid w:val="006A4EEE"/>
    <w:rsid w:val="006A5673"/>
    <w:rsid w:val="006A66AA"/>
    <w:rsid w:val="006A6F6D"/>
    <w:rsid w:val="006A74CA"/>
    <w:rsid w:val="006B02B9"/>
    <w:rsid w:val="006B052B"/>
    <w:rsid w:val="006B0B66"/>
    <w:rsid w:val="006B1E14"/>
    <w:rsid w:val="006B32EE"/>
    <w:rsid w:val="006B4416"/>
    <w:rsid w:val="006B4E30"/>
    <w:rsid w:val="006B5C17"/>
    <w:rsid w:val="006B73E7"/>
    <w:rsid w:val="006B7B41"/>
    <w:rsid w:val="006B7BB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3B20"/>
    <w:rsid w:val="00763C36"/>
    <w:rsid w:val="007645D7"/>
    <w:rsid w:val="00764687"/>
    <w:rsid w:val="007647CB"/>
    <w:rsid w:val="00766427"/>
    <w:rsid w:val="00766C4E"/>
    <w:rsid w:val="00767ABF"/>
    <w:rsid w:val="007700F2"/>
    <w:rsid w:val="00770BC4"/>
    <w:rsid w:val="00771150"/>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5DB1"/>
    <w:rsid w:val="0079646B"/>
    <w:rsid w:val="007966E5"/>
    <w:rsid w:val="00796781"/>
    <w:rsid w:val="0079734D"/>
    <w:rsid w:val="00797EB4"/>
    <w:rsid w:val="007A1833"/>
    <w:rsid w:val="007A2802"/>
    <w:rsid w:val="007A46DF"/>
    <w:rsid w:val="007A5141"/>
    <w:rsid w:val="007A5335"/>
    <w:rsid w:val="007A7724"/>
    <w:rsid w:val="007B0678"/>
    <w:rsid w:val="007B0AEC"/>
    <w:rsid w:val="007B1890"/>
    <w:rsid w:val="007B18D2"/>
    <w:rsid w:val="007B1FBD"/>
    <w:rsid w:val="007B2037"/>
    <w:rsid w:val="007B28C3"/>
    <w:rsid w:val="007B3C03"/>
    <w:rsid w:val="007B50EC"/>
    <w:rsid w:val="007B50F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57"/>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3162A"/>
    <w:rsid w:val="00831808"/>
    <w:rsid w:val="00832575"/>
    <w:rsid w:val="00833B35"/>
    <w:rsid w:val="00833F0C"/>
    <w:rsid w:val="00834E83"/>
    <w:rsid w:val="00834F46"/>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ED4"/>
    <w:rsid w:val="00855916"/>
    <w:rsid w:val="00855C08"/>
    <w:rsid w:val="00855FC7"/>
    <w:rsid w:val="0085718B"/>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4797"/>
    <w:rsid w:val="00875973"/>
    <w:rsid w:val="00876307"/>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5199"/>
    <w:rsid w:val="00895E67"/>
    <w:rsid w:val="0089644A"/>
    <w:rsid w:val="00896F0C"/>
    <w:rsid w:val="008971CD"/>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4026"/>
    <w:rsid w:val="008C4285"/>
    <w:rsid w:val="008C5B02"/>
    <w:rsid w:val="008C5E00"/>
    <w:rsid w:val="008C5ED9"/>
    <w:rsid w:val="008C60DD"/>
    <w:rsid w:val="008C61D0"/>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A0D"/>
    <w:rsid w:val="008D6DB3"/>
    <w:rsid w:val="008D7D67"/>
    <w:rsid w:val="008E0785"/>
    <w:rsid w:val="008E09CE"/>
    <w:rsid w:val="008E1929"/>
    <w:rsid w:val="008E2BDA"/>
    <w:rsid w:val="008E34BE"/>
    <w:rsid w:val="008E3549"/>
    <w:rsid w:val="008E3EE4"/>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68F2"/>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227"/>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4CE"/>
    <w:rsid w:val="00982542"/>
    <w:rsid w:val="00982F1F"/>
    <w:rsid w:val="009841A2"/>
    <w:rsid w:val="009842E6"/>
    <w:rsid w:val="009843BD"/>
    <w:rsid w:val="0098556F"/>
    <w:rsid w:val="009859B6"/>
    <w:rsid w:val="00985DAB"/>
    <w:rsid w:val="00986F81"/>
    <w:rsid w:val="0098760C"/>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47C"/>
    <w:rsid w:val="00A12EB8"/>
    <w:rsid w:val="00A142C6"/>
    <w:rsid w:val="00A14877"/>
    <w:rsid w:val="00A14AA3"/>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288C"/>
    <w:rsid w:val="00A7425B"/>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10A82"/>
    <w:rsid w:val="00B122A4"/>
    <w:rsid w:val="00B12B7C"/>
    <w:rsid w:val="00B14073"/>
    <w:rsid w:val="00B14453"/>
    <w:rsid w:val="00B15CA0"/>
    <w:rsid w:val="00B16333"/>
    <w:rsid w:val="00B21E4A"/>
    <w:rsid w:val="00B2463E"/>
    <w:rsid w:val="00B25121"/>
    <w:rsid w:val="00B25281"/>
    <w:rsid w:val="00B25C07"/>
    <w:rsid w:val="00B26683"/>
    <w:rsid w:val="00B30BE4"/>
    <w:rsid w:val="00B3155B"/>
    <w:rsid w:val="00B3178D"/>
    <w:rsid w:val="00B3628C"/>
    <w:rsid w:val="00B3697E"/>
    <w:rsid w:val="00B3746D"/>
    <w:rsid w:val="00B37704"/>
    <w:rsid w:val="00B3776F"/>
    <w:rsid w:val="00B37B24"/>
    <w:rsid w:val="00B40B4E"/>
    <w:rsid w:val="00B40EDE"/>
    <w:rsid w:val="00B419B7"/>
    <w:rsid w:val="00B41E76"/>
    <w:rsid w:val="00B424BD"/>
    <w:rsid w:val="00B42EB2"/>
    <w:rsid w:val="00B43CC2"/>
    <w:rsid w:val="00B43E85"/>
    <w:rsid w:val="00B4464B"/>
    <w:rsid w:val="00B45F34"/>
    <w:rsid w:val="00B466E2"/>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3F65"/>
    <w:rsid w:val="00B74520"/>
    <w:rsid w:val="00B75587"/>
    <w:rsid w:val="00B772D5"/>
    <w:rsid w:val="00B80B3E"/>
    <w:rsid w:val="00B828AD"/>
    <w:rsid w:val="00B84362"/>
    <w:rsid w:val="00B84550"/>
    <w:rsid w:val="00B87BC3"/>
    <w:rsid w:val="00B908D8"/>
    <w:rsid w:val="00B92E19"/>
    <w:rsid w:val="00B93595"/>
    <w:rsid w:val="00B942F8"/>
    <w:rsid w:val="00B945E4"/>
    <w:rsid w:val="00B9556B"/>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FBE"/>
    <w:rsid w:val="00BD6A8B"/>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4D6B"/>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A5826"/>
    <w:rsid w:val="00CB1869"/>
    <w:rsid w:val="00CB1FF4"/>
    <w:rsid w:val="00CB20EA"/>
    <w:rsid w:val="00CB243D"/>
    <w:rsid w:val="00CB3414"/>
    <w:rsid w:val="00CB56F3"/>
    <w:rsid w:val="00CB5B0C"/>
    <w:rsid w:val="00CB6434"/>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375C"/>
    <w:rsid w:val="00D1428B"/>
    <w:rsid w:val="00D143AC"/>
    <w:rsid w:val="00D15DB0"/>
    <w:rsid w:val="00D1667B"/>
    <w:rsid w:val="00D2118C"/>
    <w:rsid w:val="00D2119F"/>
    <w:rsid w:val="00D2145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DC0"/>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4297"/>
    <w:rsid w:val="00D76932"/>
    <w:rsid w:val="00D76AE2"/>
    <w:rsid w:val="00D76DE0"/>
    <w:rsid w:val="00D805DB"/>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0C52"/>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0BB4"/>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9794B"/>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57E5"/>
    <w:rsid w:val="00ED6643"/>
    <w:rsid w:val="00EE0A6F"/>
    <w:rsid w:val="00EE1827"/>
    <w:rsid w:val="00EE4538"/>
    <w:rsid w:val="00EE4F71"/>
    <w:rsid w:val="00EE5558"/>
    <w:rsid w:val="00EE5CBD"/>
    <w:rsid w:val="00EE6116"/>
    <w:rsid w:val="00EF010E"/>
    <w:rsid w:val="00EF04EC"/>
    <w:rsid w:val="00EF3B78"/>
    <w:rsid w:val="00EF4326"/>
    <w:rsid w:val="00EF6038"/>
    <w:rsid w:val="00F00A2C"/>
    <w:rsid w:val="00F02416"/>
    <w:rsid w:val="00F047C5"/>
    <w:rsid w:val="00F10D42"/>
    <w:rsid w:val="00F119B0"/>
    <w:rsid w:val="00F11EBD"/>
    <w:rsid w:val="00F11EDF"/>
    <w:rsid w:val="00F12036"/>
    <w:rsid w:val="00F12B7A"/>
    <w:rsid w:val="00F1502E"/>
    <w:rsid w:val="00F15674"/>
    <w:rsid w:val="00F1700C"/>
    <w:rsid w:val="00F17948"/>
    <w:rsid w:val="00F20BBF"/>
    <w:rsid w:val="00F21DCB"/>
    <w:rsid w:val="00F225E7"/>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4C1"/>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438F"/>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7AF8"/>
    <w:rsid w:val="00FD7E50"/>
    <w:rsid w:val="00FE146B"/>
    <w:rsid w:val="00FE30E3"/>
    <w:rsid w:val="00FE4E31"/>
    <w:rsid w:val="00FE56F4"/>
    <w:rsid w:val="00FE6007"/>
    <w:rsid w:val="00FE6AB5"/>
    <w:rsid w:val="00FE782D"/>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3AB7ABB6-8138-4BCF-9EEB-FDCF4F66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styleId="NichtaufgelsteErwhnung">
    <w:name w:val="Unresolved Mention"/>
    <w:basedOn w:val="Absatz-Standardschriftart"/>
    <w:uiPriority w:val="99"/>
    <w:semiHidden/>
    <w:unhideWhenUsed/>
    <w:rsid w:val="00D80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81B-7AE4-49E5-A780-179FCE0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3113</Words>
  <Characters>19618</Characters>
  <Application>Microsoft Office Word</Application>
  <DocSecurity>0</DocSecurity>
  <Lines>163</Lines>
  <Paragraphs>45</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2542</cp:revision>
  <cp:lastPrinted>2024-05-24T14:08:00Z</cp:lastPrinted>
  <dcterms:created xsi:type="dcterms:W3CDTF">2023-03-14T05:02:00Z</dcterms:created>
  <dcterms:modified xsi:type="dcterms:W3CDTF">2025-03-05T11:11:00Z</dcterms:modified>
</cp:coreProperties>
</file>