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TERMOFLUDI</w:t>
      </w:r>
      <w:r>
        <w:rPr>
          <w:rFonts w:ascii="Times" w:hAnsi="Times" w:cs="Times"/>
          <w:sz w:val="24"/>
          <w:sz-cs w:val="24"/>
          <w:b/>
        </w:rPr>
        <w:t xml:space="preserve">   </w:t>
        <w:br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0"/>
          <w:sz-cs w:val="30"/>
          <w:b/>
        </w:rPr>
        <w:t xml:space="preserve">FLETËPAGESË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 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 –                                        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Fletepagesa ID: 00011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Klienti: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</w:p>
    <w:p>
      <w:pPr/>
      <w:r>
        <w:rPr>
          <w:rFonts w:ascii="Times" w:hAnsi="Times" w:cs="Times"/>
          <w:sz w:val="28"/>
          <w:sz-cs w:val="28"/>
        </w:rPr>
        <w:t xml:space="preserve">Rinor Duraku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2024-04-20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Nënshkrimi i klientit</w:t>
      </w:r>
      <w:r>
        <w:rPr>
          <w:rFonts w:ascii="Times" w:hAnsi="Times" w:cs="Times"/>
          <w:sz w:val="18"/>
          <w:sz-cs w:val="18"/>
        </w:rPr>
        <w:t xml:space="preserve">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Nënshkrimi i klientit</w:t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663" w:bottom="1440" w:left="663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CocoaOOXMLWriter/2299.4</generator>
</meta>
</file>