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AA" w:rsidRPr="007C76F6" w:rsidRDefault="00B012AA" w:rsidP="00B012AA">
      <w:pPr>
        <w:pStyle w:val="3"/>
      </w:pPr>
      <w:r w:rsidRPr="007C76F6">
        <w:t>Оцениван</w:t>
      </w:r>
      <w:r>
        <w:t>ие математического ожидания</w:t>
      </w:r>
      <w:r w:rsidRPr="007C76F6">
        <w:t xml:space="preserve"> и </w:t>
      </w:r>
      <w:r>
        <w:t>ковариационной матрицы координат точки</w:t>
      </w:r>
      <w:r w:rsidRPr="007C76F6">
        <w:t xml:space="preserve"> паде</w:t>
      </w:r>
      <w:r>
        <w:t>ния</w:t>
      </w:r>
    </w:p>
    <w:p w:rsidR="00B012AA" w:rsidRDefault="00B012AA" w:rsidP="00B012AA">
      <w:r>
        <w:t>Оценки вектора математического ожидания и ковариационной ма</w:t>
      </w:r>
      <w:r>
        <w:t>т</w:t>
      </w:r>
      <w:r>
        <w:t xml:space="preserve">рицы точки падения ИСЗ определяются на основе статистической выборки, полученной в результате многократного повторения вычислительного эксперимента, по методу Монте-Карло </w:t>
      </w:r>
      <w:r w:rsidRPr="004C482F">
        <w:t>[</w:t>
      </w:r>
      <w:r>
        <w:fldChar w:fldCharType="begin"/>
      </w:r>
      <w:r>
        <w:instrText xml:space="preserve"> REF _Ref287881225 \r \h </w:instrText>
      </w:r>
      <w:r>
        <w:fldChar w:fldCharType="separate"/>
      </w:r>
      <w:r>
        <w:t>1</w:t>
      </w:r>
      <w:r>
        <w:fldChar w:fldCharType="end"/>
      </w:r>
      <w:r w:rsidRPr="004C482F">
        <w:t>,</w:t>
      </w:r>
      <w:r w:rsidRPr="009C58BF">
        <w:t xml:space="preserve"> </w:t>
      </w:r>
      <w:r>
        <w:fldChar w:fldCharType="begin"/>
      </w:r>
      <w:r>
        <w:instrText xml:space="preserve"> REF _Ref287881158 \r \h </w:instrText>
      </w:r>
      <w:r>
        <w:fldChar w:fldCharType="separate"/>
      </w:r>
      <w:r>
        <w:t>5</w:t>
      </w:r>
      <w:r>
        <w:fldChar w:fldCharType="end"/>
      </w:r>
      <w:r w:rsidRPr="004C482F">
        <w:t>]</w:t>
      </w:r>
      <w:r>
        <w:t>:</w:t>
      </w:r>
    </w:p>
    <w:p w:rsidR="00B012AA" w:rsidRDefault="00B012AA" w:rsidP="00B012AA">
      <w:r w:rsidRPr="007E1054">
        <w:rPr>
          <w:position w:val="-14"/>
        </w:rPr>
        <w:object w:dxaOrig="12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21.75pt" o:ole="">
            <v:imagedata r:id="rId6" o:title=""/>
          </v:shape>
          <o:OLEObject Type="Embed" ProgID="Equation.DSMT4" ShapeID="_x0000_i1025" DrawAspect="Content" ObjectID="_1511612032" r:id="rId7"/>
        </w:object>
      </w:r>
      <w:r>
        <w:t xml:space="preserve"> – вектор координат точки падения ИСЗ;</w:t>
      </w:r>
    </w:p>
    <w:p w:rsidR="00B012AA" w:rsidRDefault="00B012AA" w:rsidP="00B012AA">
      <w:r w:rsidRPr="00913CAA">
        <w:rPr>
          <w:position w:val="-16"/>
        </w:rPr>
        <w:object w:dxaOrig="1480" w:dyaOrig="480">
          <v:shape id="_x0000_i1026" type="#_x0000_t75" style="width:74.25pt;height:24pt" o:ole="">
            <v:imagedata r:id="rId8" o:title=""/>
          </v:shape>
          <o:OLEObject Type="Embed" ProgID="Equation.DSMT4" ShapeID="_x0000_i1026" DrawAspect="Content" ObjectID="_1511612033" r:id="rId9"/>
        </w:object>
      </w:r>
      <w:r>
        <w:t xml:space="preserve"> – оценка вектора координат точки падения ИСЗ, где:</w:t>
      </w:r>
    </w:p>
    <w:p w:rsidR="00B012AA" w:rsidRDefault="00B012AA" w:rsidP="00B012AA">
      <w:pPr>
        <w:ind w:left="707"/>
      </w:pPr>
      <w:r w:rsidRPr="00D0049D">
        <w:rPr>
          <w:position w:val="-28"/>
        </w:rPr>
        <w:object w:dxaOrig="1280" w:dyaOrig="680">
          <v:shape id="_x0000_i1027" type="#_x0000_t75" style="width:63.75pt;height:33.75pt" o:ole="">
            <v:imagedata r:id="rId10" o:title=""/>
          </v:shape>
          <o:OLEObject Type="Embed" ProgID="Equation.DSMT4" ShapeID="_x0000_i1027" DrawAspect="Content" ObjectID="_1511612034" r:id="rId11"/>
        </w:object>
      </w:r>
      <w:r>
        <w:t xml:space="preserve">, </w:t>
      </w:r>
      <w:r w:rsidRPr="00D0049D">
        <w:rPr>
          <w:position w:val="-28"/>
        </w:rPr>
        <w:object w:dxaOrig="1260" w:dyaOrig="680">
          <v:shape id="_x0000_i1028" type="#_x0000_t75" style="width:63pt;height:33.75pt" o:ole="">
            <v:imagedata r:id="rId12" o:title=""/>
          </v:shape>
          <o:OLEObject Type="Embed" ProgID="Equation.DSMT4" ShapeID="_x0000_i1028" DrawAspect="Content" ObjectID="_1511612035" r:id="rId13"/>
        </w:object>
      </w:r>
      <w:r>
        <w:t>;</w:t>
      </w:r>
    </w:p>
    <w:p w:rsidR="00B012AA" w:rsidRDefault="00B012AA" w:rsidP="00B012AA">
      <w:pPr>
        <w:ind w:left="707" w:firstLine="2"/>
      </w:pPr>
      <w:r w:rsidRPr="00D604A2">
        <w:rPr>
          <w:position w:val="-38"/>
        </w:rPr>
        <w:object w:dxaOrig="2060" w:dyaOrig="880">
          <v:shape id="_x0000_i1029" type="#_x0000_t75" style="width:102.75pt;height:44.25pt" o:ole="">
            <v:imagedata r:id="rId14" o:title=""/>
          </v:shape>
          <o:OLEObject Type="Embed" ProgID="Equation.DSMT4" ShapeID="_x0000_i1029" DrawAspect="Content" ObjectID="_1511612036" r:id="rId15"/>
        </w:object>
      </w:r>
      <w:r>
        <w:t xml:space="preserve"> – оценка ковариационной </w:t>
      </w:r>
      <w:proofErr w:type="gramStart"/>
      <w:r>
        <w:t>матрицы оценки координат точки падения</w:t>
      </w:r>
      <w:proofErr w:type="gramEnd"/>
      <w:r>
        <w:t xml:space="preserve"> ИСЗ, где:</w:t>
      </w:r>
    </w:p>
    <w:p w:rsidR="00B012AA" w:rsidRDefault="00B012AA" w:rsidP="00B012AA">
      <w:pPr>
        <w:ind w:left="1416" w:firstLine="0"/>
        <w:jc w:val="left"/>
      </w:pPr>
      <w:r w:rsidRPr="00B4495F">
        <w:rPr>
          <w:position w:val="-28"/>
        </w:rPr>
        <w:object w:dxaOrig="2480" w:dyaOrig="720">
          <v:shape id="_x0000_i1030" type="#_x0000_t75" style="width:123.75pt;height:36pt" o:ole="">
            <v:imagedata r:id="rId16" o:title=""/>
          </v:shape>
          <o:OLEObject Type="Embed" ProgID="Equation.DSMT4" ShapeID="_x0000_i1030" DrawAspect="Content" ObjectID="_1511612037" r:id="rId17"/>
        </w:object>
      </w:r>
      <w:r>
        <w:t xml:space="preserve">, </w:t>
      </w:r>
      <w:r w:rsidRPr="00B4495F">
        <w:rPr>
          <w:position w:val="-28"/>
        </w:rPr>
        <w:object w:dxaOrig="2480" w:dyaOrig="720">
          <v:shape id="_x0000_i1031" type="#_x0000_t75" style="width:123.75pt;height:36pt" o:ole="">
            <v:imagedata r:id="rId18" o:title=""/>
          </v:shape>
          <o:OLEObject Type="Embed" ProgID="Equation.DSMT4" ShapeID="_x0000_i1031" DrawAspect="Content" ObjectID="_1511612038" r:id="rId19"/>
        </w:object>
      </w:r>
      <w:r>
        <w:t xml:space="preserve">, </w:t>
      </w:r>
      <w:r w:rsidRPr="00B4495F">
        <w:rPr>
          <w:position w:val="-28"/>
        </w:rPr>
        <w:object w:dxaOrig="3920" w:dyaOrig="680">
          <v:shape id="_x0000_i1032" type="#_x0000_t75" style="width:195.75pt;height:33.75pt" o:ole="">
            <v:imagedata r:id="rId20" o:title=""/>
          </v:shape>
          <o:OLEObject Type="Embed" ProgID="Equation.DSMT4" ShapeID="_x0000_i1032" DrawAspect="Content" ObjectID="_1511612039" r:id="rId21"/>
        </w:object>
      </w:r>
      <w:r>
        <w:t>.</w:t>
      </w:r>
    </w:p>
    <w:p w:rsidR="00B012AA" w:rsidRPr="00085846" w:rsidRDefault="00B012AA" w:rsidP="00B012AA">
      <w:pPr>
        <w:pStyle w:val="3"/>
      </w:pPr>
      <w:bookmarkStart w:id="0" w:name="_GoBack"/>
      <w:bookmarkEnd w:id="0"/>
      <w:r>
        <w:t xml:space="preserve">Построение </w:t>
      </w:r>
      <w:proofErr w:type="gramStart"/>
      <w:r>
        <w:t>эллипса рассеивания координат точки падения</w:t>
      </w:r>
      <w:proofErr w:type="gramEnd"/>
    </w:p>
    <w:p w:rsidR="00B012AA" w:rsidRDefault="00B012AA" w:rsidP="00B012AA">
      <w:r>
        <w:t xml:space="preserve">Для получения представления об области возможного падения ИСЗ на земную поверхность удобно использовать эллипс рассевания координат точки его падения. </w:t>
      </w:r>
      <w:r w:rsidRPr="005B0321">
        <w:rPr>
          <w:i/>
        </w:rPr>
        <w:t>Эллипс рассеив</w:t>
      </w:r>
      <w:r w:rsidRPr="005B0321">
        <w:rPr>
          <w:i/>
        </w:rPr>
        <w:t>а</w:t>
      </w:r>
      <w:r w:rsidRPr="005B0321">
        <w:rPr>
          <w:i/>
        </w:rPr>
        <w:t>ния</w:t>
      </w:r>
      <w:r>
        <w:t xml:space="preserve"> – это область, в которой с заданной вероятностью окажется упавший ИСЗ. </w:t>
      </w:r>
    </w:p>
    <w:p w:rsidR="00B012AA" w:rsidRPr="0004731B" w:rsidRDefault="00B012AA" w:rsidP="00B012AA">
      <w:r>
        <w:t>Уравнение эллипса имеет вид</w:t>
      </w:r>
      <w:proofErr w:type="gramStart"/>
      <w:r>
        <w:t>:</w:t>
      </w:r>
      <w:proofErr w:type="gramEnd"/>
    </w:p>
    <w:p w:rsidR="00B012AA" w:rsidRDefault="00B012AA" w:rsidP="00B012AA">
      <w:r w:rsidRPr="006E1112">
        <w:rPr>
          <w:position w:val="-50"/>
        </w:rPr>
        <w:object w:dxaOrig="6360" w:dyaOrig="1120">
          <v:shape id="_x0000_i1033" type="#_x0000_t75" style="width:318pt;height:56.25pt" o:ole="">
            <v:imagedata r:id="rId22" o:title=""/>
          </v:shape>
          <o:OLEObject Type="Embed" ProgID="Equation.DSMT4" ShapeID="_x0000_i1033" DrawAspect="Content" ObjectID="_1511612040" r:id="rId23"/>
        </w:object>
      </w:r>
      <w:r>
        <w:t>,</w:t>
      </w:r>
    </w:p>
    <w:p w:rsidR="00B012AA" w:rsidRDefault="00B012AA" w:rsidP="00B012AA">
      <w:r>
        <w:t xml:space="preserve">где: </w:t>
      </w:r>
    </w:p>
    <w:p w:rsidR="00B012AA" w:rsidRDefault="00B012AA" w:rsidP="00B012AA">
      <w:r w:rsidRPr="006E1112">
        <w:rPr>
          <w:position w:val="-14"/>
        </w:rPr>
        <w:object w:dxaOrig="300" w:dyaOrig="380">
          <v:shape id="_x0000_i1034" type="#_x0000_t75" style="width:15pt;height:18.75pt" o:ole="">
            <v:imagedata r:id="rId24" o:title=""/>
          </v:shape>
          <o:OLEObject Type="Embed" ProgID="Equation.DSMT4" ShapeID="_x0000_i1034" DrawAspect="Content" ObjectID="_1511612041" r:id="rId25"/>
        </w:object>
      </w:r>
      <w:r>
        <w:t xml:space="preserve"> – коэффициент корреляции</w:t>
      </w:r>
      <w:proofErr w:type="gramStart"/>
      <w:r>
        <w:t xml:space="preserve">, </w:t>
      </w:r>
      <w:r w:rsidRPr="006E1112">
        <w:rPr>
          <w:position w:val="-42"/>
        </w:rPr>
        <w:object w:dxaOrig="1520" w:dyaOrig="880">
          <v:shape id="_x0000_i1035" type="#_x0000_t75" style="width:75.75pt;height:44.25pt" o:ole="">
            <v:imagedata r:id="rId26" o:title=""/>
          </v:shape>
          <o:OLEObject Type="Embed" ProgID="Equation.DSMT4" ShapeID="_x0000_i1035" DrawAspect="Content" ObjectID="_1511612042" r:id="rId27"/>
        </w:object>
      </w:r>
      <w:r>
        <w:t>;</w:t>
      </w:r>
      <w:proofErr w:type="gramEnd"/>
    </w:p>
    <w:p w:rsidR="00B012AA" w:rsidRPr="00D46CFF" w:rsidRDefault="00B012AA" w:rsidP="00B012AA">
      <w:r w:rsidRPr="00075B75">
        <w:rPr>
          <w:position w:val="-6"/>
        </w:rPr>
        <w:object w:dxaOrig="279" w:dyaOrig="320">
          <v:shape id="_x0000_i1036" type="#_x0000_t75" style="width:14.25pt;height:15.75pt" o:ole="">
            <v:imagedata r:id="rId28" o:title=""/>
          </v:shape>
          <o:OLEObject Type="Embed" ProgID="Equation.DSMT4" ShapeID="_x0000_i1036" DrawAspect="Content" ObjectID="_1511612043" r:id="rId29"/>
        </w:object>
      </w:r>
      <w:r>
        <w:t xml:space="preserve"> – константа, соответствующая значению квантиля распределения </w:t>
      </w:r>
      <w:r w:rsidRPr="0015696B">
        <w:rPr>
          <w:position w:val="-10"/>
        </w:rPr>
        <w:object w:dxaOrig="320" w:dyaOrig="360">
          <v:shape id="_x0000_i1037" type="#_x0000_t75" style="width:15.75pt;height:18pt" o:ole="">
            <v:imagedata r:id="rId30" o:title=""/>
          </v:shape>
          <o:OLEObject Type="Embed" ProgID="Equation.DSMT4" ShapeID="_x0000_i1037" DrawAspect="Content" ObjectID="_1511612044" r:id="rId31"/>
        </w:object>
      </w:r>
      <w:r>
        <w:t xml:space="preserve"> с двумя степенями свободы (по количеству координат) уровня доверительной вероятности </w:t>
      </w:r>
      <w:r w:rsidRPr="008667C2">
        <w:rPr>
          <w:position w:val="-4"/>
        </w:rPr>
        <w:object w:dxaOrig="240" w:dyaOrig="260">
          <v:shape id="_x0000_i1038" type="#_x0000_t75" style="width:12pt;height:12.75pt" o:ole="">
            <v:imagedata r:id="rId32" o:title=""/>
          </v:shape>
          <o:OLEObject Type="Embed" ProgID="Equation.DSMT4" ShapeID="_x0000_i1038" DrawAspect="Content" ObjectID="_1511612045" r:id="rId33"/>
        </w:object>
      </w:r>
      <w:r>
        <w:t xml:space="preserve">, т.е. </w:t>
      </w:r>
      <w:r w:rsidRPr="003A5FA6">
        <w:rPr>
          <w:position w:val="-20"/>
        </w:rPr>
        <w:object w:dxaOrig="1480" w:dyaOrig="480">
          <v:shape id="_x0000_i1039" type="#_x0000_t75" style="width:74.25pt;height:24pt" o:ole="">
            <v:imagedata r:id="rId34" o:title=""/>
          </v:shape>
          <o:OLEObject Type="Embed" ProgID="Equation.DSMT4" ShapeID="_x0000_i1039" DrawAspect="Content" ObjectID="_1511612046" r:id="rId35"/>
        </w:object>
      </w:r>
      <w:r w:rsidRPr="008667C2">
        <w:t xml:space="preserve"> </w:t>
      </w:r>
      <w:r>
        <w:t xml:space="preserve">и </w:t>
      </w:r>
      <w:r w:rsidRPr="00914DFD">
        <w:rPr>
          <w:position w:val="-14"/>
        </w:rPr>
        <w:object w:dxaOrig="1140" w:dyaOrig="400">
          <v:shape id="_x0000_i1040" type="#_x0000_t75" style="width:57pt;height:20.25pt" o:ole="">
            <v:imagedata r:id="rId36" o:title=""/>
          </v:shape>
          <o:OLEObject Type="Embed" ProgID="Equation.DSMT4" ShapeID="_x0000_i1040" DrawAspect="Content" ObjectID="_1511612047" r:id="rId37"/>
        </w:object>
      </w:r>
      <w:r w:rsidRPr="008667C2">
        <w:t xml:space="preserve"> [</w:t>
      </w:r>
      <w:r>
        <w:fldChar w:fldCharType="begin"/>
      </w:r>
      <w:r>
        <w:instrText xml:space="preserve"> REF _Ref287881225 \r \h </w:instrText>
      </w:r>
      <w:r>
        <w:fldChar w:fldCharType="separate"/>
      </w:r>
      <w:r>
        <w:t>1</w:t>
      </w:r>
      <w:r>
        <w:fldChar w:fldCharType="end"/>
      </w:r>
      <w:r w:rsidRPr="005B4428">
        <w:t xml:space="preserve">, </w:t>
      </w:r>
      <w:r>
        <w:fldChar w:fldCharType="begin"/>
      </w:r>
      <w:r>
        <w:instrText xml:space="preserve"> REF _Ref287881254 \r \h </w:instrText>
      </w:r>
      <w:r>
        <w:fldChar w:fldCharType="separate"/>
      </w:r>
      <w:r>
        <w:t>2</w:t>
      </w:r>
      <w:r>
        <w:fldChar w:fldCharType="end"/>
      </w:r>
      <w:r w:rsidRPr="005B4428">
        <w:t xml:space="preserve">, </w:t>
      </w:r>
      <w:r>
        <w:fldChar w:fldCharType="begin"/>
      </w:r>
      <w:r>
        <w:instrText xml:space="preserve"> REF _Ref287881255 \r \h </w:instrText>
      </w:r>
      <w:r>
        <w:fldChar w:fldCharType="separate"/>
      </w:r>
      <w:r>
        <w:t>8</w:t>
      </w:r>
      <w:r>
        <w:fldChar w:fldCharType="end"/>
      </w:r>
      <w:r w:rsidRPr="008667C2">
        <w:t>]</w:t>
      </w:r>
      <w:r>
        <w:t xml:space="preserve">. Значения квантиля </w:t>
      </w:r>
      <w:r w:rsidRPr="0015696B">
        <w:rPr>
          <w:position w:val="-10"/>
        </w:rPr>
        <w:object w:dxaOrig="320" w:dyaOrig="360">
          <v:shape id="_x0000_i1041" type="#_x0000_t75" style="width:15.75pt;height:18pt" o:ole="">
            <v:imagedata r:id="rId38" o:title=""/>
          </v:shape>
          <o:OLEObject Type="Embed" ProgID="Equation.DSMT4" ShapeID="_x0000_i1041" DrawAspect="Content" ObjectID="_1511612048" r:id="rId39"/>
        </w:object>
      </w:r>
      <w:r>
        <w:t xml:space="preserve"> для различного количества степеней свободы и уровней доверительной вероятности можно определить из справочника или с использованием приближенных соотношений </w:t>
      </w:r>
      <w:r w:rsidRPr="00D46CFF">
        <w:t>[</w:t>
      </w:r>
      <w:r>
        <w:fldChar w:fldCharType="begin"/>
      </w:r>
      <w:r>
        <w:instrText xml:space="preserve"> REF _Ref287881225 \r \h </w:instrText>
      </w:r>
      <w:r>
        <w:fldChar w:fldCharType="separate"/>
      </w:r>
      <w:r>
        <w:t>1</w:t>
      </w:r>
      <w:r>
        <w:fldChar w:fldCharType="end"/>
      </w:r>
      <w:r w:rsidRPr="005B4428">
        <w:t xml:space="preserve">, </w:t>
      </w:r>
      <w:r>
        <w:fldChar w:fldCharType="begin"/>
      </w:r>
      <w:r>
        <w:instrText xml:space="preserve"> REF _Ref287881254 \r \h </w:instrText>
      </w:r>
      <w:r>
        <w:fldChar w:fldCharType="separate"/>
      </w:r>
      <w:r>
        <w:t>2</w:t>
      </w:r>
      <w:r>
        <w:fldChar w:fldCharType="end"/>
      </w:r>
      <w:r w:rsidRPr="007122E4">
        <w:t xml:space="preserve">, </w:t>
      </w:r>
      <w:r>
        <w:fldChar w:fldCharType="begin"/>
      </w:r>
      <w:r>
        <w:instrText xml:space="preserve"> REF _Ref287881255 \r \h </w:instrText>
      </w:r>
      <w:r>
        <w:fldChar w:fldCharType="separate"/>
      </w:r>
      <w:r>
        <w:t>8</w:t>
      </w:r>
      <w:r>
        <w:fldChar w:fldCharType="end"/>
      </w:r>
      <w:r w:rsidRPr="00D46CFF">
        <w:t>].</w:t>
      </w:r>
    </w:p>
    <w:p w:rsidR="00B012AA" w:rsidRPr="003D7AAE" w:rsidRDefault="00B012AA" w:rsidP="00B012AA">
      <w:r>
        <w:t>Для графического отображения эллипса рассеивания можно разрешить приведенное уравнение относительно одной из координат.</w:t>
      </w:r>
    </w:p>
    <w:p w:rsidR="00F36AB4" w:rsidRDefault="00F36AB4">
      <w:pPr>
        <w:rPr>
          <w:lang w:val="en-US"/>
        </w:rPr>
      </w:pPr>
    </w:p>
    <w:p w:rsidR="00B012AA" w:rsidRDefault="00B012AA" w:rsidP="00B012AA">
      <w:pPr>
        <w:pStyle w:val="1"/>
      </w:pPr>
      <w:bookmarkStart w:id="1" w:name="_Toc334003384"/>
      <w:r>
        <w:t>Литература</w:t>
      </w:r>
      <w:bookmarkEnd w:id="1"/>
    </w:p>
    <w:p w:rsidR="00B012AA" w:rsidRDefault="00B012AA" w:rsidP="00B012AA">
      <w:pPr>
        <w:numPr>
          <w:ilvl w:val="0"/>
          <w:numId w:val="1"/>
        </w:numPr>
        <w:tabs>
          <w:tab w:val="clear" w:pos="1429"/>
          <w:tab w:val="num" w:pos="1080"/>
        </w:tabs>
        <w:ind w:left="1080"/>
      </w:pPr>
      <w:bookmarkStart w:id="2" w:name="_Ref287881225"/>
      <w:proofErr w:type="spellStart"/>
      <w:r>
        <w:t>Вентцель</w:t>
      </w:r>
      <w:proofErr w:type="spellEnd"/>
      <w:r>
        <w:t xml:space="preserve"> Е.С., Теория вероятностей. — М.: «Наука», 1969 г.</w:t>
      </w:r>
      <w:bookmarkEnd w:id="2"/>
    </w:p>
    <w:p w:rsidR="00B012AA" w:rsidRDefault="00B012AA" w:rsidP="00B012AA">
      <w:pPr>
        <w:numPr>
          <w:ilvl w:val="0"/>
          <w:numId w:val="1"/>
        </w:numPr>
        <w:tabs>
          <w:tab w:val="clear" w:pos="1429"/>
          <w:tab w:val="num" w:pos="1080"/>
        </w:tabs>
        <w:ind w:left="1080"/>
      </w:pPr>
      <w:bookmarkStart w:id="3" w:name="_Ref287881254"/>
      <w:proofErr w:type="spellStart"/>
      <w:r>
        <w:t>Вентцель</w:t>
      </w:r>
      <w:proofErr w:type="spellEnd"/>
      <w:r>
        <w:t xml:space="preserve"> Е.С., Овчаров Л.А., Теория вероятностей и её инженерные приложения. — М.: «Высшая школа», 2000 г.</w:t>
      </w:r>
      <w:bookmarkEnd w:id="3"/>
    </w:p>
    <w:p w:rsidR="00B012AA" w:rsidRDefault="00B012AA" w:rsidP="00B012AA">
      <w:pPr>
        <w:numPr>
          <w:ilvl w:val="0"/>
          <w:numId w:val="1"/>
        </w:numPr>
        <w:tabs>
          <w:tab w:val="clear" w:pos="1429"/>
          <w:tab w:val="num" w:pos="1080"/>
        </w:tabs>
        <w:ind w:left="1080"/>
      </w:pPr>
      <w:bookmarkStart w:id="4" w:name="_Ref287881188"/>
      <w:proofErr w:type="spellStart"/>
      <w:r>
        <w:t>Дубошин</w:t>
      </w:r>
      <w:proofErr w:type="spellEnd"/>
      <w:r>
        <w:t xml:space="preserve"> Г.Н., Небесная механика. Основные задачи и методы. — М.: «Наука», 1968.</w:t>
      </w:r>
      <w:bookmarkEnd w:id="4"/>
    </w:p>
    <w:p w:rsidR="00B012AA" w:rsidRPr="00A36873" w:rsidRDefault="00B012AA" w:rsidP="00B012AA">
      <w:pPr>
        <w:numPr>
          <w:ilvl w:val="0"/>
          <w:numId w:val="1"/>
        </w:numPr>
        <w:tabs>
          <w:tab w:val="clear" w:pos="1429"/>
          <w:tab w:val="num" w:pos="1080"/>
        </w:tabs>
        <w:ind w:left="1080"/>
      </w:pPr>
      <w:bookmarkStart w:id="5" w:name="_Ref287881138"/>
      <w:proofErr w:type="spellStart"/>
      <w:r>
        <w:lastRenderedPageBreak/>
        <w:t>Жданюк</w:t>
      </w:r>
      <w:proofErr w:type="spellEnd"/>
      <w:r>
        <w:t xml:space="preserve"> Б.Ф., Основы статистической обработки траекторных измерений.</w:t>
      </w:r>
      <w:bookmarkEnd w:id="5"/>
    </w:p>
    <w:p w:rsidR="00B012AA" w:rsidRPr="00A36873" w:rsidRDefault="00B012AA" w:rsidP="00B012AA">
      <w:pPr>
        <w:numPr>
          <w:ilvl w:val="0"/>
          <w:numId w:val="1"/>
        </w:numPr>
        <w:tabs>
          <w:tab w:val="clear" w:pos="1429"/>
          <w:tab w:val="num" w:pos="1080"/>
        </w:tabs>
        <w:ind w:left="1080"/>
      </w:pPr>
      <w:bookmarkStart w:id="6" w:name="_Ref287881158"/>
      <w:r>
        <w:t xml:space="preserve">Желтов С.Ю., Веремеенко К.К., Ким Н.В. и др., под ред. </w:t>
      </w:r>
      <w:proofErr w:type="spellStart"/>
      <w:r>
        <w:t>Красильщикова</w:t>
      </w:r>
      <w:proofErr w:type="spellEnd"/>
      <w:r>
        <w:t xml:space="preserve"> М.Н., </w:t>
      </w:r>
      <w:proofErr w:type="spellStart"/>
      <w:r>
        <w:t>Себрякова</w:t>
      </w:r>
      <w:proofErr w:type="spellEnd"/>
      <w:r>
        <w:t xml:space="preserve"> Г.Г. Современные информационные технологии в задачах навигации и наведения беспилотных маневренных летательных аппаратов. — М.: ФИЗМАТЛИТ, 2009. — 556 с.</w:t>
      </w:r>
    </w:p>
    <w:p w:rsidR="00B012AA" w:rsidRDefault="00B012AA" w:rsidP="00B012AA">
      <w:pPr>
        <w:numPr>
          <w:ilvl w:val="0"/>
          <w:numId w:val="1"/>
        </w:numPr>
        <w:tabs>
          <w:tab w:val="clear" w:pos="1429"/>
          <w:tab w:val="num" w:pos="1080"/>
        </w:tabs>
        <w:ind w:left="1080"/>
      </w:pPr>
      <w:r>
        <w:t xml:space="preserve">Кудряшов С.В., </w:t>
      </w:r>
      <w:r w:rsidRPr="003700B9">
        <w:t>Основы статистической динамики комплексных информационных си</w:t>
      </w:r>
      <w:r w:rsidRPr="003700B9">
        <w:t>с</w:t>
      </w:r>
      <w:r>
        <w:t>тем, МАИ каф.704, 2007 г.</w:t>
      </w:r>
      <w:bookmarkEnd w:id="6"/>
    </w:p>
    <w:p w:rsidR="00B012AA" w:rsidRDefault="00B012AA" w:rsidP="00B012AA">
      <w:pPr>
        <w:numPr>
          <w:ilvl w:val="0"/>
          <w:numId w:val="1"/>
        </w:numPr>
        <w:tabs>
          <w:tab w:val="clear" w:pos="1429"/>
          <w:tab w:val="num" w:pos="1080"/>
        </w:tabs>
        <w:ind w:left="1080"/>
      </w:pPr>
      <w:bookmarkStart w:id="7" w:name="_Ref287881191"/>
      <w:r>
        <w:t>Кудряшов С.В., Математическое моделирование. Математические модели внешней среды. Тексты лекций. — М.: Изд-во МАИ, 1998 г.</w:t>
      </w:r>
      <w:bookmarkEnd w:id="7"/>
    </w:p>
    <w:p w:rsidR="00B012AA" w:rsidRDefault="00B012AA" w:rsidP="00B012AA">
      <w:pPr>
        <w:numPr>
          <w:ilvl w:val="0"/>
          <w:numId w:val="1"/>
        </w:numPr>
        <w:tabs>
          <w:tab w:val="clear" w:pos="1429"/>
          <w:tab w:val="num" w:pos="1080"/>
        </w:tabs>
        <w:ind w:left="1080"/>
      </w:pPr>
      <w:bookmarkStart w:id="8" w:name="_Ref287881255"/>
      <w:r>
        <w:t>Корн Г., Корн Т., Справочник по математике (для научных работников и инженеров). — М.: На</w:t>
      </w:r>
      <w:r>
        <w:t>у</w:t>
      </w:r>
      <w:r>
        <w:t>ка, 1977.</w:t>
      </w:r>
      <w:bookmarkEnd w:id="8"/>
    </w:p>
    <w:p w:rsidR="00B012AA" w:rsidRPr="00B012AA" w:rsidRDefault="00B012AA" w:rsidP="00B012AA">
      <w:pPr>
        <w:ind w:firstLine="0"/>
        <w:rPr>
          <w:lang w:val="en-US"/>
        </w:rPr>
      </w:pPr>
    </w:p>
    <w:sectPr w:rsidR="00B012AA" w:rsidRPr="00B01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A51E7"/>
    <w:multiLevelType w:val="hybridMultilevel"/>
    <w:tmpl w:val="B476A5F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AA"/>
    <w:rsid w:val="00393366"/>
    <w:rsid w:val="007449E1"/>
    <w:rsid w:val="008D5B3E"/>
    <w:rsid w:val="00AA0B88"/>
    <w:rsid w:val="00B012AA"/>
    <w:rsid w:val="00F3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2A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12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B012AA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012AA"/>
    <w:rPr>
      <w:rFonts w:ascii="Arial" w:eastAsia="Times New Roman" w:hAnsi="Arial" w:cs="Arial"/>
      <w:b/>
      <w:bCs/>
      <w:sz w:val="20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01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2A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12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B012AA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012AA"/>
    <w:rPr>
      <w:rFonts w:ascii="Arial" w:eastAsia="Times New Roman" w:hAnsi="Arial" w:cs="Arial"/>
      <w:b/>
      <w:bCs/>
      <w:sz w:val="20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01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2486</Characters>
  <Application>Microsoft Office Word</Application>
  <DocSecurity>0</DocSecurity>
  <Lines>20</Lines>
  <Paragraphs>5</Paragraphs>
  <ScaleCrop>false</ScaleCrop>
  <Company>ВНИИНС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2015-12-14T12:25:00Z</dcterms:created>
  <dcterms:modified xsi:type="dcterms:W3CDTF">2015-12-14T12:27:00Z</dcterms:modified>
</cp:coreProperties>
</file>