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Critical Blind Spots &amp; Amendments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following three issues were identified during roadmap review. Each requires a concrete fix before Phase 1 begins. They are addressed as direct amendments to the relevant phase task lists.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0F6E5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993C1D"/>
          <w:sz w:val="28"/>
          <w:szCs w:val="28"/>
        </w:rPr>
        <w:t xml:space="preserve">Blind Spot 1 — VMI Smart-Card / Mobile-ID Authentication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VMI (imas.vmi.lt) and Sodra (draudejai.sodra.lt) require Smart-ID or Mobile-ID for login. An autonomous agent cannot approve a push notification on your phone. Without handling this explicitly, the agent stalls silently after triggering the login step and may lock the government account after repeated failed attempts — triggering a manual investigation.</w:t>
      </w:r>
    </w:p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Amendment — vmi_submit.md and sodra_draft.md (Phase 3)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993C1D"/>
                <w:sz w:val="21"/>
                <w:szCs w:val="21"/>
              </w:rPr>
              <w:t xml:space="preserve">Add an explicit "auth pause" block to both skill files: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993C1D"/>
                <w:sz w:val="21"/>
                <w:szCs w:val="21"/>
              </w:rPr>
              <w:t xml:space="preserve">1. Agent navigates to the portal login page and enters the company code.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993C1D"/>
                <w:sz w:val="21"/>
                <w:szCs w:val="21"/>
              </w:rPr>
              <w:t xml:space="preserve">2. Agent calls notify_owner(): "Smart-ID push sent for VMI login — please approve on your phone within 60 seconds."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993C1D"/>
                <w:sz w:val="21"/>
                <w:szCs w:val="21"/>
              </w:rPr>
              <w:t xml:space="preserve">3. Agent polls for an authenticated session cookie for up to 90 seconds.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993C1D"/>
                <w:sz w:val="21"/>
                <w:szCs w:val="21"/>
              </w:rPr>
              <w:t xml:space="preserve">4. If no session confirmed within 90s: log portal_action outcome=failure, alert owner: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993C1D"/>
                <w:sz w:val="21"/>
                <w:szCs w:val="21"/>
              </w:rPr>
              <w:t xml:space="preserve">   "Login timed out — please log in manually and re-trigger the task."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993C1D"/>
                <w:sz w:val="21"/>
                <w:szCs w:val="21"/>
              </w:rPr>
              <w:t xml:space="preserve">5. Circuit breaker rule applies: three consecutive auth failures pause all portal tasks.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0F6E5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BA7517"/>
          <w:sz w:val="28"/>
          <w:szCs w:val="28"/>
        </w:rPr>
        <w:t xml:space="preserve">Blind Spot 2 — OCR Confidence Gate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Receipts from small Lithuanian suppliers are frequently crumpled, thermally faded, or partially handwritten. A single misread digit — "9" parsed as "4" — in a VAT amount produces an incorrect i.SAF entry that will not match the supplier's own filing, triggering a VMI cross-check flag and a potential manual audit.</w:t>
      </w:r>
    </w:p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Amendment — scan_receipt.py (Phase 3, Task 1)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BA7517"/>
                <w:sz w:val="21"/>
                <w:szCs w:val="21"/>
              </w:rPr>
              <w:t xml:space="preserve">Implement a three-tier confidence gate after the docTR / EasyOCR extraction step: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BA7517"/>
                <w:sz w:val="21"/>
                <w:szCs w:val="21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BA7517"/>
                <w:sz w:val="21"/>
                <w:szCs w:val="21"/>
              </w:rPr>
              <w:t xml:space="preserve">Tier 1 — Confidence ≥ 90%: proceed automatically to isaf_generator.py.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BA7517"/>
                <w:sz w:val="21"/>
                <w:szCs w:val="21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BA7517"/>
                <w:sz w:val="21"/>
                <w:szCs w:val="21"/>
              </w:rPr>
              <w:t xml:space="preserve">Tier 2 — Confidence 70–89%: send the receipt image to the owner via Telegram with all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BA7517"/>
                <w:sz w:val="21"/>
                <w:szCs w:val="21"/>
              </w:rPr>
              <w:t xml:space="preserve">extracted fields pre-filled. Do not generate XML until the owner confirms or corrects.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BA7517"/>
                <w:sz w:val="21"/>
                <w:szCs w:val="21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BA7517"/>
                <w:sz w:val="21"/>
                <w:szCs w:val="21"/>
              </w:rPr>
              <w:t xml:space="preserve">Tier 3 — Confidence &lt; 70%: move file to workspace/manual_review/. Alert owner with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BA7517"/>
                <w:sz w:val="21"/>
                <w:szCs w:val="21"/>
              </w:rPr>
              <w:t xml:space="preserve">filename. Never attempt XML generation on sub-threshold data.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BA7517"/>
                <w:sz w:val="21"/>
                <w:szCs w:val="21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BA7517"/>
                <w:sz w:val="21"/>
                <w:szCs w:val="21"/>
              </w:rPr>
              <w:t xml:space="preserve">Store the raw confidence score in receipt_processing.ocr_raw_json for audit purposes.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0F6E5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Blind Spot 3 — POS Pull Model (Polling over Webhooks)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 all Lithuanian POS systems (Paysera, RoboLabs) support real-time webhooks for every transaction event. Building the integration layer around a push model and discovering this limitation mid-Phase 2 would require a significant rewrite of the entire POS connector.</w:t>
      </w:r>
    </w:p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Amendment — core/integrations/ architecture (Phase 2, Task 1)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85FA5"/>
                <w:sz w:val="21"/>
                <w:szCs w:val="21"/>
              </w:rPr>
              <w:t xml:space="preserve">Build pull-first from day one: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85FA5"/>
                <w:sz w:val="21"/>
                <w:szCs w:val="21"/>
              </w:rPr>
              <w:t xml:space="preserve">1. Implement a polling loop (every 15 minutes via APScheduler) as the primary data source.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85FA5"/>
                <w:sz w:val="21"/>
                <w:szCs w:val="21"/>
              </w:rPr>
              <w:t xml:space="preserve">2. In Phase 4, add an optional FastAPI webhook endpoint. If the POS supports push events,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85FA5"/>
                <w:sz w:val="21"/>
                <w:szCs w:val="21"/>
              </w:rPr>
              <w:t xml:space="preserve">   it writes into the same internal queue the poller uses.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85FA5"/>
                <w:sz w:val="21"/>
                <w:szCs w:val="21"/>
              </w:rPr>
              <w:t xml:space="preserve">3. All downstream modules read only from the queue — they never care whether data arrived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85FA5"/>
                <w:sz w:val="21"/>
                <w:szCs w:val="21"/>
              </w:rPr>
              <w:t xml:space="preserve">   via push or pull. This makes the webhook an enhancement, not a dependency.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85FA5"/>
                <w:sz w:val="21"/>
                <w:szCs w:val="21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85FA5"/>
                <w:sz w:val="21"/>
                <w:szCs w:val="21"/>
              </w:rPr>
              <w:t xml:space="preserve">Revised Phase 1 task order: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85FA5"/>
                <w:sz w:val="21"/>
                <w:szCs w:val="21"/>
              </w:rPr>
              <w:t xml:space="preserve">Day 1 — POS API smoke test (if this fails, the audit pipeline has no data source).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85FA5"/>
                <w:sz w:val="21"/>
                <w:szCs w:val="21"/>
              </w:rPr>
              <w:t xml:space="preserve">Day 2 — Telegram bot setup (notification infrastructure for all subsequent debugging).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Budget Estimate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figures are estimates in EUR. Development cost assumes a solo developer in Lithuania at a blended rate of €35/hr. A two-person team (developer + part-time tester) can compress the timeline and reduce total hours billed.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0F6E5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One-Time Development Cost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100"/>
        <w:gridCol w:w="1300"/>
        <w:gridCol w:w="1200"/>
        <w:gridCol w:w="2426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 / Item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Hrs (solo)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Hrs (2-person)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Rate €/hr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 €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Phase 1 — Environment &amp; Foundation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16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35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560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Phase 2 — Python Deterministic Core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35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2,100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Phase 3 — OpenClaw Agent Brain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80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35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2,800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Phase 4 — Dashboard &amp; Hardening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35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2,100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Phase 5 — Production Launch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35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840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Compliance review (accountant / lawyer)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300–500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Contingency (15%)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≈1,260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(solo developer)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240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120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35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≈9,660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0F6E5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Monthly Operating Cost (Steady State)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626"/>
      </w:tblGrid>
      <w:tr>
        <w:trPr>
          <w:tblHeader/>
        </w:trP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 / Item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Est. monthly (€)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OpenClaw agent usage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20–60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Depends on portal session frequency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VPS / hosting (1 vCPU, 2 GB RAM)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5–12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Hetzner / DigitalOcean / on-site Raspberry Pi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Telegram Bot API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Free tier is sufficient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 API (Paysera / RoboLabs)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0–15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Check your existing POS contract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docTR OCR (self-hosted)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Runs on the same VPS; no external API fee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Developer maintenance (2 hrs/mo)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70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At €35/hr: schema updates, monitoring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estimated monthly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≈100–160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Excludes one-off developer spikes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ROI Threshold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At €100–160/month operating cost, the system breaks even if it saves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approximately 3–4 hours of manual bookkeeping and compliance work per month.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This is a conservative estimate for a shop filing VMI monthly and managing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3–6 baristas on Sodra. Additional value accrues from avoided VMI fines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(up to €4,300 per incident) and reduced accountant hours at month-end.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RACI Matrix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Defines who is Responsible (does the work), Accountable (owns the outcome), Consulted, or Informed for every key activity across the full project lifecycle and steady-state operations.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1640"/>
        <w:gridCol w:w="760"/>
        <w:gridCol w:w="1640"/>
        <w:gridCol w:w="760"/>
        <w:gridCol w:w="1640"/>
        <w:gridCol w:w="760"/>
        <w:gridCol w:w="1066"/>
      </w:tblGrid>
      <w:t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</w:t>
            </w:r>
          </w:p>
        </w:tc>
        <w:tc>
          <w:tcPr>
            <w:tcW w:type="dxa" w:w="1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Responsible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W w:type="dxa" w:w="1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Accountable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A75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</w:t>
            </w:r>
          </w:p>
        </w:tc>
        <w:tc>
          <w:tcPr>
            <w:tcW w:type="dxa" w:w="1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Consulted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</w:t>
            </w:r>
          </w:p>
        </w:tc>
        <w:tc>
          <w:tcPr>
            <w:tcW w:type="dxa" w:w="10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Informed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1200"/>
        <w:gridCol w:w="2626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Accountant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Phase 1 — Environment setup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R/A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Phase 2 — Python core development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R/A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Phase 3 — OpenClaw agent development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R/A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Phase 4 — Dashboard &amp; compliance review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A/C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Phase 5 — Production launch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A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Daily Z-report audit (07:00)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R/A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Telegram alert: AUDIT_MISMATCH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A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Receipt OCR processing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R/A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i.SAF XML generation &amp; XSD validation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R/A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VMI portal — draft filing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A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VMI e-Signature submission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R/A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Smart-ID / Mobile-ID approval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R/A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Sodra 1-SD form draft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A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Sodra 1-SD e-Signature submission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R/A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Inventory reorder draft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A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Supplier email — send (after GO)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R/A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Monthly P&amp;L draft generation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A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R/C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Monthly i.SAF submission (by 15th)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R/A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New hire detection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R/A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Weekly bank reconciliation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A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R/C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Circuit breaker: portal lock alert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A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OCR confidence &lt; 70%: manual review flag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R/A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Monthly skill file / XSD update review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R/A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How to read this table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R/A (teal)   — agent runs this task fully autonomously.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A (navy)     — owner must take an explicit action (e-sign, confirm, approve).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R (light)    — responsible party executes; someone else is accountable.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—            — this role has no involvement in this activity.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Critical rule: no row in the VMI or Sodra submission section has R on the Agent column.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The agent drafts, alerts, and waits. The owner always holds the pen.</w:t>
            </w:r>
          </w:p>
        </w:tc>
      </w:tr>
    </w:tbl>
    <w:p>
      <w:pPr>
        <w:spacing w:after="200" w:before="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80" w:bottom="1440" w:left="12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F6E56" w:sz="4" w:space="4"/>
      </w:pBdr>
      <w:spacing w:before="80"/>
    </w:pPr>
    <w:r>
      <w:rPr>
        <w:rFonts w:ascii="Arial" w:cs="Arial" w:eastAsia="Arial" w:hAnsi="Arial"/>
        <w:color w:val="5F5E5A"/>
        <w:sz w:val="18"/>
        <w:szCs w:val="18"/>
      </w:rPr>
      <w:t xml:space="preserve">Confidential  ·  CoffeeManager-OS Addendum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6E56" w:sz="4" w:space="4"/>
      </w:pBdr>
      <w:tabs>
        <w:tab w:val="right" w:pos="9026"/>
      </w:tabs>
      <w:spacing w:after="80"/>
    </w:pPr>
    <w:r>
      <w:rPr>
        <w:rFonts w:ascii="Arial" w:cs="Arial" w:eastAsia="Arial" w:hAnsi="Arial"/>
        <w:color w:val="5F5E5A"/>
        <w:sz w:val="18"/>
        <w:szCs w:val="18"/>
      </w:rPr>
      <w:t xml:space="preserve">CoffeeManager-OS  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5F5E5A"/>
        <w:sz w:val="18"/>
        <w:szCs w:val="18"/>
      </w:rPr>
      <w:t xml:space="preserve">Addendum: Budget · RACI · Blind Spots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2E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2E4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F6E5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2026-05-05T20:42:09.283Z</dcterms:created>
  <dcterms:modified xsi:type="dcterms:W3CDTF">2026-05-05T20:42:09.300Z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