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798C" w14:textId="77777777" w:rsidR="008410EB" w:rsidRDefault="008410EB" w:rsidP="008410EB">
      <w:pPr>
        <w:rPr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E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l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conjunto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datos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contiene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las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siguientes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columnas:</w:t>
      </w:r>
      <w:r>
        <w:rPr>
          <w:rFonts w:ascii="Segoe UI" w:hAnsi="Segoe UI" w:cs="Segoe UI"/>
          <w:sz w:val="21"/>
          <w:szCs w:val="21"/>
          <w:lang w:val="es-ES"/>
        </w:rPr>
        <w:t xml:space="preserve"> </w:t>
      </w:r>
    </w:p>
    <w:p w14:paraId="1A2BF024" w14:textId="027C6EEF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bookmarkStart w:id="0" w:name="OLE_LINK1"/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Acidez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fija</w:t>
      </w:r>
      <w:bookmarkEnd w:id="0"/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Indica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ácido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tartárico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en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y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</w:p>
    <w:p w14:paraId="5BB5F2AF" w14:textId="3A2AE1F9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Acidez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volátil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Indica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ácido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acético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</w:p>
    <w:p w14:paraId="2E3912A5" w14:textId="77777777" w:rsid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Ácido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cítrico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Indica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ácido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cítrico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También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</w:p>
    <w:p w14:paraId="2843E194" w14:textId="57E79D17" w:rsid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Azúcar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residual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Indica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de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azúcar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que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queda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el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después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que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realiza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proceso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fermentación.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También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</w:p>
    <w:p w14:paraId="01FCD17D" w14:textId="75220921" w:rsidR="00DF3C34" w:rsidRPr="008410EB" w:rsidRDefault="00DF3C34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Cloruro</w:t>
      </w:r>
      <w:r w:rsidR="005C6851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s</w:t>
      </w:r>
      <w:r w:rsidRPr="00DF3C34">
        <w:t>:</w:t>
      </w:r>
      <w:r>
        <w:rPr>
          <w:rFonts w:ascii="Segoe UI" w:hAnsi="Segoe UI" w:cs="Segoe UI"/>
          <w:sz w:val="21"/>
          <w:szCs w:val="21"/>
          <w:lang w:val="es-ES"/>
        </w:rPr>
        <w:t xml:space="preserve"> Indica la cantidad de cloruros en el vino. Se mide en g/dm3. </w:t>
      </w:r>
    </w:p>
    <w:p w14:paraId="413F57C7" w14:textId="77777777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Dióxido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de azufre libre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de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dióxido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azufre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(SO2)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forma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libre.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También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</w:p>
    <w:p w14:paraId="34A68552" w14:textId="4DE2638A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Dióxido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de </w:t>
      </w: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azufre</w:t>
      </w:r>
      <w:r w:rsidRPr="008410EB">
        <w:rPr>
          <w:rFonts w:ascii="Segoe UI" w:hAnsi="Segoe UI" w:cs="Segoe UI"/>
          <w:b/>
          <w:bCs/>
          <w:sz w:val="21"/>
          <w:szCs w:val="21"/>
          <w:lang w:val="es-ES"/>
        </w:rPr>
        <w:t xml:space="preserve"> total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cantidad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total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SO2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vino.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Este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producto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químico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funciona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como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un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agente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antioxidante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y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antimicrobiano.</w:t>
      </w:r>
    </w:p>
    <w:p w14:paraId="52106411" w14:textId="36173DB1" w:rsidR="00B01F66" w:rsidRPr="008410EB" w:rsidRDefault="008410EB" w:rsidP="008410EB">
      <w:pPr>
        <w:pStyle w:val="Prrafodelista"/>
        <w:numPr>
          <w:ilvl w:val="0"/>
          <w:numId w:val="1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Densidad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: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Indica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la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densidad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del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vino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y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se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mide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en</w:t>
      </w:r>
      <w:r w:rsidRPr="008410EB">
        <w:rPr>
          <w:rFonts w:ascii="Segoe UI" w:hAnsi="Segoe UI" w:cs="Segoe UI"/>
          <w:sz w:val="21"/>
          <w:szCs w:val="21"/>
          <w:lang w:val="es-ES"/>
        </w:rPr>
        <w:t xml:space="preserve"> 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>g/dm3.</w:t>
      </w:r>
    </w:p>
    <w:p w14:paraId="16AB6EDB" w14:textId="2CAA49DF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</w:pPr>
      <w:r w:rsidRPr="008410EB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pH</w:t>
      </w:r>
      <w:r w:rsidRPr="008410EB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: </w:t>
      </w:r>
      <w:r w:rsidRPr="008410EB"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  <w:t>Indica el valor de pH del vino. El rango de valor está entre 0 y 14.0, que indica una acidez muy alta, y 14 indica acidez básica</w:t>
      </w:r>
    </w:p>
    <w:p w14:paraId="1A570B84" w14:textId="77777777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</w:pPr>
      <w:r w:rsidRPr="008410EB">
        <w:rPr>
          <w:rFonts w:ascii="Segoe UI" w:eastAsia="Times New Roman" w:hAnsi="Segoe UI" w:cs="Segoe UI"/>
          <w:b/>
          <w:bCs/>
          <w:kern w:val="0"/>
          <w:sz w:val="21"/>
          <w:szCs w:val="21"/>
          <w:lang w:val="es-ES" w:eastAsia="es-419"/>
          <w14:ligatures w14:val="none"/>
        </w:rPr>
        <w:t>Sulfatos</w:t>
      </w:r>
      <w:r w:rsidRPr="008410EB"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  <w:t>: Indica la cantidad de sulfato de potasio en el vino. También se mide en g/dm3.</w:t>
      </w:r>
    </w:p>
    <w:p w14:paraId="5F60B672" w14:textId="77777777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Fonts w:ascii="Segoe UI" w:eastAsia="Times New Roman" w:hAnsi="Segoe UI" w:cs="Segoe UI"/>
          <w:b/>
          <w:bCs/>
          <w:kern w:val="0"/>
          <w:sz w:val="21"/>
          <w:szCs w:val="21"/>
          <w:lang w:val="es-ES" w:eastAsia="es-419"/>
          <w14:ligatures w14:val="none"/>
        </w:rPr>
        <w:t>Alcohol</w:t>
      </w:r>
      <w:r w:rsidRPr="008410EB"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  <w:t xml:space="preserve">: Indica el contenido de alcohol en el vino. </w:t>
      </w:r>
    </w:p>
    <w:p w14:paraId="1798B9CC" w14:textId="715EDD67" w:rsidR="008410EB" w:rsidRPr="008410EB" w:rsidRDefault="008410EB" w:rsidP="008410EB">
      <w:pPr>
        <w:pStyle w:val="Prrafodelista"/>
        <w:numPr>
          <w:ilvl w:val="0"/>
          <w:numId w:val="1"/>
        </w:numPr>
        <w:rPr>
          <w:rFonts w:ascii="Segoe UI" w:hAnsi="Segoe UI" w:cs="Segoe UI"/>
          <w:sz w:val="21"/>
          <w:szCs w:val="21"/>
          <w:lang w:val="es-ES"/>
        </w:rPr>
      </w:pPr>
      <w:r w:rsidRPr="008410EB">
        <w:rPr>
          <w:rFonts w:ascii="Segoe UI" w:eastAsia="Times New Roman" w:hAnsi="Segoe UI" w:cs="Segoe UI"/>
          <w:b/>
          <w:bCs/>
          <w:kern w:val="0"/>
          <w:sz w:val="21"/>
          <w:szCs w:val="21"/>
          <w:lang w:val="es-ES" w:eastAsia="es-419"/>
          <w14:ligatures w14:val="none"/>
        </w:rPr>
        <w:t>Calidad</w:t>
      </w:r>
      <w:r w:rsidRPr="008410EB">
        <w:rPr>
          <w:rFonts w:ascii="Segoe UI" w:eastAsia="Times New Roman" w:hAnsi="Segoe UI" w:cs="Segoe UI"/>
          <w:kern w:val="0"/>
          <w:sz w:val="21"/>
          <w:szCs w:val="21"/>
          <w:lang w:val="es-ES" w:eastAsia="es-419"/>
          <w14:ligatures w14:val="none"/>
        </w:rPr>
        <w:t>: Indica la calidad del vino, que oscila entre 1 y 10. Aquí, cuanto mayor sea el valor, mejor será el vino.</w:t>
      </w:r>
    </w:p>
    <w:p w14:paraId="65DEFD49" w14:textId="77777777" w:rsidR="008410EB" w:rsidRDefault="008410EB" w:rsidP="008410EB">
      <w:pPr>
        <w:rPr>
          <w:rStyle w:val="ts-alignment-element"/>
          <w:rFonts w:ascii="Segoe UI" w:hAnsi="Segoe UI" w:cs="Segoe UI"/>
          <w:sz w:val="21"/>
          <w:szCs w:val="21"/>
          <w:lang w:val="es-ES"/>
        </w:rPr>
      </w:pPr>
    </w:p>
    <w:p w14:paraId="372A598F" w14:textId="04F7AED9" w:rsidR="00EE7A4C" w:rsidRDefault="00EE7A4C" w:rsidP="008410EB">
      <w:p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los siguientes ejercicios tanto para los datos de calidad del vino rojo como para el blanco:</w:t>
      </w:r>
    </w:p>
    <w:p w14:paraId="36323283" w14:textId="0F4D00F2" w:rsidR="00EE7A4C" w:rsidRDefault="00EE7A4C" w:rsidP="00EE7A4C">
      <w:pPr>
        <w:pStyle w:val="Prrafodelista"/>
        <w:numPr>
          <w:ilvl w:val="0"/>
          <w:numId w:val="2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Análisis Univariante</w:t>
      </w:r>
    </w:p>
    <w:p w14:paraId="2F1565F3" w14:textId="5D8BE08A" w:rsidR="00EE7A4C" w:rsidRDefault="00EE7A4C" w:rsidP="002929B7">
      <w:pPr>
        <w:pStyle w:val="Prrafodelista"/>
        <w:numPr>
          <w:ilvl w:val="0"/>
          <w:numId w:val="3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>Realizar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y analizar</w:t>
      </w:r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los histogramas y </w:t>
      </w:r>
      <w:proofErr w:type="spellStart"/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>y</w:t>
      </w:r>
      <w:proofErr w:type="spellEnd"/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</w:t>
      </w:r>
      <w:proofErr w:type="spellStart"/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>boxplot</w:t>
      </w:r>
      <w:proofErr w:type="spellEnd"/>
      <w:r w:rsidRPr="00EE7A4C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para todas las variables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.</w:t>
      </w:r>
    </w:p>
    <w:p w14:paraId="06E91C3C" w14:textId="40FDA410" w:rsidR="00EE7A4C" w:rsidRDefault="00EE7A4C" w:rsidP="002929B7">
      <w:pPr>
        <w:pStyle w:val="Prrafodelista"/>
        <w:numPr>
          <w:ilvl w:val="0"/>
          <w:numId w:val="3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las estadísticas descriptivas.</w:t>
      </w:r>
    </w:p>
    <w:p w14:paraId="47C82B30" w14:textId="48B61273" w:rsidR="00EE7A4C" w:rsidRDefault="00EE7A4C" w:rsidP="00EE7A4C">
      <w:pPr>
        <w:pStyle w:val="Prrafodelista"/>
        <w:numPr>
          <w:ilvl w:val="0"/>
          <w:numId w:val="2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Análisis Bivariante</w:t>
      </w:r>
    </w:p>
    <w:p w14:paraId="5B8E0C28" w14:textId="336464F5" w:rsidR="00EE7A4C" w:rsidRDefault="00EE7A4C" w:rsidP="00EE7A4C">
      <w:pPr>
        <w:pStyle w:val="Prrafodelista"/>
        <w:numPr>
          <w:ilvl w:val="0"/>
          <w:numId w:val="4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Correlación entre las variables Alcohol </w:t>
      </w:r>
      <w:r w:rsidR="00691598">
        <w:rPr>
          <w:rStyle w:val="ts-alignment-element"/>
          <w:rFonts w:ascii="Segoe UI" w:hAnsi="Segoe UI" w:cs="Segoe UI"/>
          <w:sz w:val="21"/>
          <w:szCs w:val="21"/>
          <w:lang w:val="es-ES"/>
        </w:rPr>
        <w:t>con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pH</w:t>
      </w:r>
      <w:r w:rsidR="00691598">
        <w:rPr>
          <w:rStyle w:val="ts-alignment-element"/>
          <w:rFonts w:ascii="Segoe UI" w:hAnsi="Segoe UI" w:cs="Segoe UI"/>
          <w:sz w:val="21"/>
          <w:szCs w:val="21"/>
          <w:lang w:val="es-ES"/>
        </w:rPr>
        <w:t>, Calidad, Ácido cítrico</w:t>
      </w:r>
    </w:p>
    <w:p w14:paraId="03686154" w14:textId="3F275A5C" w:rsidR="00EE7A4C" w:rsidRDefault="00EE7A4C" w:rsidP="00EE7A4C">
      <w:pPr>
        <w:pStyle w:val="Prrafodelista"/>
        <w:numPr>
          <w:ilvl w:val="0"/>
          <w:numId w:val="4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</w:t>
      </w:r>
      <w:r w:rsidR="00691598">
        <w:rPr>
          <w:rStyle w:val="ts-alignment-element"/>
          <w:rFonts w:ascii="Segoe UI" w:hAnsi="Segoe UI" w:cs="Segoe UI"/>
          <w:sz w:val="21"/>
          <w:szCs w:val="21"/>
          <w:lang w:val="es-ES"/>
        </w:rPr>
        <w:t>orrelación entre pH con Densidad, Acidez fija, Ácido cítrico y sulfatos</w:t>
      </w:r>
    </w:p>
    <w:p w14:paraId="447DFCCF" w14:textId="63B233E6" w:rsidR="00691598" w:rsidRDefault="00691598" w:rsidP="00691598">
      <w:pPr>
        <w:pStyle w:val="Prrafodelista"/>
        <w:numPr>
          <w:ilvl w:val="0"/>
          <w:numId w:val="4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Convertir en columnas categóricas la variable calidad</w:t>
      </w:r>
      <w:r w:rsidR="00DF6E5C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y renombrarla,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codifica</w:t>
      </w:r>
      <w:r w:rsidR="00DF6E5C">
        <w:rPr>
          <w:rStyle w:val="ts-alignment-element"/>
          <w:rFonts w:ascii="Segoe UI" w:hAnsi="Segoe UI" w:cs="Segoe UI"/>
          <w:sz w:val="21"/>
          <w:szCs w:val="21"/>
          <w:lang w:val="es-ES"/>
        </w:rPr>
        <w:t>rla de acuerdo con la regla:</w:t>
      </w:r>
    </w:p>
    <w:p w14:paraId="0C83CA1F" w14:textId="52CFF30C" w:rsidR="00691598" w:rsidRDefault="00691598" w:rsidP="00691598">
      <w:pPr>
        <w:pStyle w:val="Prrafodelista"/>
        <w:ind w:left="1080"/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 w:rsidRPr="00691598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Baja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: si el valor de la calidad es menor o igual a 5</w:t>
      </w:r>
    </w:p>
    <w:p w14:paraId="0AF5B226" w14:textId="77777777" w:rsidR="00691598" w:rsidRDefault="00691598" w:rsidP="00691598">
      <w:pPr>
        <w:pStyle w:val="Prrafodelista"/>
        <w:ind w:left="1080"/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 w:rsidRPr="00691598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Media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: si el valor de la calidad es mayor a 5 y menor igual a 7</w:t>
      </w:r>
    </w:p>
    <w:p w14:paraId="7083A59B" w14:textId="1C172FAA" w:rsidR="00691598" w:rsidRDefault="00691598" w:rsidP="00691598">
      <w:pPr>
        <w:pStyle w:val="Prrafodelista"/>
        <w:ind w:left="1080"/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 w:rsidRPr="00691598">
        <w:rPr>
          <w:rStyle w:val="ts-alignment-element"/>
          <w:rFonts w:ascii="Segoe UI" w:hAnsi="Segoe UI" w:cs="Segoe UI"/>
          <w:b/>
          <w:bCs/>
          <w:sz w:val="21"/>
          <w:szCs w:val="21"/>
          <w:lang w:val="es-ES"/>
        </w:rPr>
        <w:t>Alta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: Si la calidad es mayor de 7</w:t>
      </w:r>
    </w:p>
    <w:p w14:paraId="45FA02B1" w14:textId="2752A00A" w:rsidR="00691598" w:rsidRDefault="00691598" w:rsidP="00DF6E5C">
      <w:pPr>
        <w:pStyle w:val="Prrafodelista"/>
        <w:numPr>
          <w:ilvl w:val="0"/>
          <w:numId w:val="6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el conteo de los datos con la nueva variable</w:t>
      </w:r>
    </w:p>
    <w:p w14:paraId="5B2E6F15" w14:textId="1CD19CAB" w:rsidR="00691598" w:rsidRDefault="00691598" w:rsidP="00DF6E5C">
      <w:pPr>
        <w:pStyle w:val="Prrafodelista"/>
        <w:numPr>
          <w:ilvl w:val="0"/>
          <w:numId w:val="6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un gráfico de barras para ambos vinos</w:t>
      </w:r>
      <w:r w:rsidR="00DF6E5C"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comparando la calidad</w:t>
      </w:r>
    </w:p>
    <w:p w14:paraId="2A116B99" w14:textId="143043E5" w:rsidR="00691598" w:rsidRDefault="00691598" w:rsidP="00691598">
      <w:pPr>
        <w:pStyle w:val="Prrafodelista"/>
        <w:numPr>
          <w:ilvl w:val="0"/>
          <w:numId w:val="4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Concatenar las bases de datos (unir en una sola)</w:t>
      </w:r>
    </w:p>
    <w:p w14:paraId="70E6217E" w14:textId="12F555B0" w:rsidR="00691598" w:rsidRPr="00691598" w:rsidRDefault="00DF6E5C" w:rsidP="00DF6E5C">
      <w:pPr>
        <w:pStyle w:val="Prrafodelista"/>
        <w:numPr>
          <w:ilvl w:val="0"/>
          <w:numId w:val="5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de nuevo los análisis univari</w:t>
      </w:r>
      <w:r w:rsidR="00AA14F8">
        <w:rPr>
          <w:rStyle w:val="ts-alignment-element"/>
          <w:rFonts w:ascii="Segoe UI" w:hAnsi="Segoe UI" w:cs="Segoe UI"/>
          <w:sz w:val="21"/>
          <w:szCs w:val="21"/>
          <w:lang w:val="es-ES"/>
        </w:rPr>
        <w:t>antes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 con la base concatenada</w:t>
      </w:r>
    </w:p>
    <w:p w14:paraId="5E44AB4C" w14:textId="31846390" w:rsidR="00691598" w:rsidRDefault="00DF6E5C" w:rsidP="00DF6E5C">
      <w:pPr>
        <w:pStyle w:val="Prrafodelista"/>
        <w:numPr>
          <w:ilvl w:val="0"/>
          <w:numId w:val="5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 xml:space="preserve">Realizar una tabla pivote con la calidad del vino tanto rojo como blanco, diferenciando las variables Alcohol, Densidad y </w:t>
      </w:r>
      <w:r w:rsidR="00AA14F8">
        <w:rPr>
          <w:rStyle w:val="ts-alignment-element"/>
          <w:rFonts w:ascii="Segoe UI" w:hAnsi="Segoe UI" w:cs="Segoe UI"/>
          <w:sz w:val="21"/>
          <w:szCs w:val="21"/>
          <w:lang w:val="es-ES"/>
        </w:rPr>
        <w:t>pH</w:t>
      </w: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, con las estadísticas descriptivas</w:t>
      </w:r>
    </w:p>
    <w:p w14:paraId="7E040813" w14:textId="3F773291" w:rsidR="00DF6E5C" w:rsidRPr="00691598" w:rsidRDefault="00AF02B2" w:rsidP="00DF6E5C">
      <w:pPr>
        <w:pStyle w:val="Prrafodelista"/>
        <w:numPr>
          <w:ilvl w:val="0"/>
          <w:numId w:val="5"/>
        </w:numPr>
        <w:rPr>
          <w:rStyle w:val="ts-alignment-element"/>
          <w:rFonts w:ascii="Segoe UI" w:hAnsi="Segoe UI" w:cs="Segoe UI"/>
          <w:sz w:val="21"/>
          <w:szCs w:val="21"/>
          <w:lang w:val="es-ES"/>
        </w:rPr>
      </w:pPr>
      <w:r>
        <w:rPr>
          <w:rStyle w:val="ts-alignment-element"/>
          <w:rFonts w:ascii="Segoe UI" w:hAnsi="Segoe UI" w:cs="Segoe UI"/>
          <w:sz w:val="21"/>
          <w:szCs w:val="21"/>
          <w:lang w:val="es-ES"/>
        </w:rPr>
        <w:t>Realizar el grafico de correlación con todas las variables</w:t>
      </w:r>
    </w:p>
    <w:p w14:paraId="44C7B96E" w14:textId="77777777" w:rsidR="005C6851" w:rsidRPr="008410EB" w:rsidRDefault="005C6851" w:rsidP="008410EB">
      <w:pPr>
        <w:rPr>
          <w:rStyle w:val="ts-alignment-element"/>
          <w:rFonts w:ascii="Segoe UI" w:hAnsi="Segoe UI" w:cs="Segoe UI"/>
          <w:sz w:val="21"/>
          <w:szCs w:val="21"/>
          <w:lang w:val="es-ES"/>
        </w:rPr>
      </w:pPr>
    </w:p>
    <w:sectPr w:rsidR="005C6851" w:rsidRPr="0084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2CB"/>
    <w:multiLevelType w:val="hybridMultilevel"/>
    <w:tmpl w:val="8A3A37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41377"/>
    <w:multiLevelType w:val="hybridMultilevel"/>
    <w:tmpl w:val="AACCBF58"/>
    <w:lvl w:ilvl="0" w:tplc="F3825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730F1"/>
    <w:multiLevelType w:val="hybridMultilevel"/>
    <w:tmpl w:val="30F44D62"/>
    <w:lvl w:ilvl="0" w:tplc="4AC84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05956"/>
    <w:multiLevelType w:val="hybridMultilevel"/>
    <w:tmpl w:val="28DE2410"/>
    <w:lvl w:ilvl="0" w:tplc="7646F268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6C6155"/>
    <w:multiLevelType w:val="hybridMultilevel"/>
    <w:tmpl w:val="E3BC3F84"/>
    <w:lvl w:ilvl="0" w:tplc="4E3CAC34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481620"/>
    <w:multiLevelType w:val="hybridMultilevel"/>
    <w:tmpl w:val="228CB61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39552">
    <w:abstractNumId w:val="0"/>
  </w:num>
  <w:num w:numId="2" w16cid:durableId="188686141">
    <w:abstractNumId w:val="5"/>
  </w:num>
  <w:num w:numId="3" w16cid:durableId="1998679443">
    <w:abstractNumId w:val="1"/>
  </w:num>
  <w:num w:numId="4" w16cid:durableId="547032251">
    <w:abstractNumId w:val="2"/>
  </w:num>
  <w:num w:numId="5" w16cid:durableId="422607301">
    <w:abstractNumId w:val="3"/>
  </w:num>
  <w:num w:numId="6" w16cid:durableId="191579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B"/>
    <w:rsid w:val="002F5346"/>
    <w:rsid w:val="005C6851"/>
    <w:rsid w:val="00691598"/>
    <w:rsid w:val="008410EB"/>
    <w:rsid w:val="00AA14F8"/>
    <w:rsid w:val="00AF02B2"/>
    <w:rsid w:val="00B01F66"/>
    <w:rsid w:val="00DF3C34"/>
    <w:rsid w:val="00DF6E5C"/>
    <w:rsid w:val="00EE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784B4"/>
  <w15:chartTrackingRefBased/>
  <w15:docId w15:val="{FFA9A20C-F773-4AD1-9D6C-8BA1C7F0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s-alignment-element">
    <w:name w:val="ts-alignment-element"/>
    <w:basedOn w:val="Fuentedeprrafopredeter"/>
    <w:rsid w:val="008410EB"/>
  </w:style>
  <w:style w:type="character" w:customStyle="1" w:styleId="ts-alignment-element-highlighted">
    <w:name w:val="ts-alignment-element-highlighted"/>
    <w:basedOn w:val="Fuentedeprrafopredeter"/>
    <w:rsid w:val="008410EB"/>
  </w:style>
  <w:style w:type="paragraph" w:styleId="Prrafodelista">
    <w:name w:val="List Paragraph"/>
    <w:basedOn w:val="Normal"/>
    <w:uiPriority w:val="34"/>
    <w:qFormat/>
    <w:rsid w:val="0084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46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22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9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7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3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DIAZ</dc:creator>
  <cp:keywords/>
  <dc:description/>
  <cp:lastModifiedBy>WALTER DIAZ</cp:lastModifiedBy>
  <cp:revision>2</cp:revision>
  <dcterms:created xsi:type="dcterms:W3CDTF">2023-08-30T15:10:00Z</dcterms:created>
  <dcterms:modified xsi:type="dcterms:W3CDTF">2023-08-30T16:42:00Z</dcterms:modified>
</cp:coreProperties>
</file>