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5266"/>
          <w:sz w:val="22"/>
          <w:szCs w:val="22"/>
        </w:rPr>
        <w:t xml:space="preserve">JUNICLAIR — CAPITAL INNOVATION</w:t>
      </w:r>
    </w:p>
    <w:p>
      <w:pPr>
        <w:spacing w:after="300" w:before="300"/>
        <w:jc w:val="center"/>
      </w:pPr>
      <w:r>
        <w:rPr>
          <w:rFonts w:ascii="Calibri" w:cs="Calibri" w:eastAsia="Calibri" w:hAnsi="Calibri"/>
          <w:b/>
          <w:bCs/>
          <w:color w:val="1F2937"/>
          <w:sz w:val="44"/>
          <w:szCs w:val="44"/>
        </w:rPr>
        <w:t xml:space="preserve">IA &amp; DATA : ÉTUDE PRÉLIMINAIRE BUILD VS BUY</w:t>
      </w:r>
    </w:p>
    <w:p>
      <w:pPr>
        <w:spacing w:after="800"/>
        <w:jc w:val="center"/>
      </w:pPr>
      <w:r>
        <w:rPr>
          <w:rFonts w:ascii="Calibri" w:cs="Calibri" w:eastAsia="Calibri" w:hAnsi="Calibri"/>
          <w:i/>
          <w:iCs/>
          <w:color w:val="444444"/>
          <w:sz w:val="24"/>
          <w:szCs w:val="24"/>
        </w:rPr>
        <w:t xml:space="preserve">Assistant de connaissance interne, copilote de due diligence et suivi de portefeuille : benchmark, budget et feuille de route</w:t>
      </w:r>
    </w:p>
    <w:p>
      <w:pPr>
        <w:spacing w:after="60"/>
        <w:jc w:val="center"/>
      </w:pPr>
      <w:r>
        <w:rPr>
          <w:rFonts w:ascii="Calibri" w:cs="Calibri" w:eastAsia="Calibri" w:hAnsi="Calibri"/>
          <w:sz w:val="20"/>
          <w:szCs w:val="20"/>
        </w:rPr>
        <w:t xml:space="preserve">Note pour comité d'investissement — Usage interne, confidentiel</w:t>
      </w:r>
    </w:p>
    <w:p>
      <w:pPr>
        <w:spacing w:after="60"/>
        <w:jc w:val="center"/>
      </w:pPr>
      <w:r>
        <w:rPr>
          <w:rFonts w:ascii="Calibri" w:cs="Calibri" w:eastAsia="Calibri" w:hAnsi="Calibri"/>
          <w:sz w:val="20"/>
          <w:szCs w:val="20"/>
        </w:rPr>
        <w:t xml:space="preserve">26 juillet 2026</w:t>
      </w:r>
    </w:p>
    <w:p>
      <w:pPr>
        <w:spacing w:after="1600"/>
        <w:jc w:val="center"/>
      </w:pPr>
      <w:r>
        <w:rPr>
          <w:rFonts w:ascii="Calibri" w:cs="Calibri" w:eastAsia="Calibri" w:hAnsi="Calibri"/>
          <w:sz w:val="20"/>
          <w:szCs w:val="20"/>
        </w:rPr>
        <w:t xml:space="preserve">Version 1.0</w:t>
      </w:r>
    </w:p>
    <w:p>
      <w:r>
        <w:br w:type="page"/>
      </w:r>
    </w:p>
    <w:p>
      <w:pPr>
        <w:pStyle w:val="Heading1"/>
        <w:spacing w:after="200" w:before="420"/>
      </w:pPr>
      <w:r>
        <w:rPr>
          <w:rFonts w:ascii="Calibri" w:cs="Calibri" w:eastAsia="Calibri" w:hAnsi="Calibri"/>
          <w:b/>
          <w:bCs/>
          <w:color w:val="2E5266"/>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rPr>
          <w:rFonts w:ascii="Calibri" w:cs="Calibri" w:eastAsia="Calibri" w:hAnsi="Calibri"/>
          <w:b/>
          <w:bCs/>
          <w:color w:val="2E5266"/>
          <w:sz w:val="30"/>
          <w:szCs w:val="30"/>
        </w:rPr>
        <w:t xml:space="preserve">Hypothèses de cadrage</w:t>
      </w:r>
    </w:p>
    <w:p>
      <w:pPr>
        <w:spacing w:after="200" w:before="0" w:line="276"/>
      </w:pPr>
      <w:r>
        <w:rPr>
          <w:rFonts w:ascii="Calibri" w:cs="Calibri" w:eastAsia="Calibri" w:hAnsi="Calibri"/>
          <w:b/>
          <w:bCs/>
          <w:sz w:val="21"/>
          <w:szCs w:val="21"/>
        </w:rPr>
        <w:t xml:space="preserve">Douze hypothèses encadrent cette étude en l'absence de données internes communiquées ; elles sont explicitement marquées [Hypothèse] et réutilisées telles quelles dans tous les calculs qui suivent.</w:t>
      </w:r>
    </w:p>
    <w:p>
      <w:pPr>
        <w:spacing w:after="90" w:before="0" w:line="276"/>
      </w:pPr>
      <w:r>
        <w:rPr>
          <w:rFonts w:ascii="Calibri" w:cs="Calibri" w:eastAsia="Calibri" w:hAnsi="Calibri"/>
          <w:sz w:val="20"/>
          <w:szCs w:val="20"/>
        </w:rPr>
        <w:t xml:space="preserve">H1 — Équipe Capital Innovation : 6 personnes (fourchette 4 à 8), dont 1 décideur, 3-4 chargés d'investissement/analystes et 1 assistant, aucun profil technique dédié.</w:t>
      </w:r>
    </w:p>
    <w:p>
      <w:pPr>
        <w:spacing w:after="90" w:before="0" w:line="276"/>
      </w:pPr>
      <w:r>
        <w:rPr>
          <w:rFonts w:ascii="Calibri" w:cs="Calibri" w:eastAsia="Calibri" w:hAnsi="Calibri"/>
          <w:sz w:val="20"/>
          <w:szCs w:val="20"/>
        </w:rPr>
        <w:t xml:space="preserve">H2 — Base documentaire de démarrage : 8 000 à 12 000 documents (mémos, DDQ, decks, comptes rendus, rapports) accumulés sur 5 ans, avec un flux entrant de 150 à 250 documents supplémentaires par mois.</w:t>
      </w:r>
    </w:p>
    <w:p>
      <w:pPr>
        <w:spacing w:after="90" w:before="0" w:line="276"/>
      </w:pPr>
      <w:r>
        <w:rPr>
          <w:rFonts w:ascii="Calibri" w:cs="Calibri" w:eastAsia="Calibri" w:hAnsi="Calibri"/>
          <w:sz w:val="20"/>
          <w:szCs w:val="20"/>
        </w:rPr>
        <w:t xml:space="preserve">H3 — Volumétrie de requêtes M1 : 15 à 25 requêtes/jour en régime de croisière (6 utilisateurs, 3-4 requêtes/jour chacun).</w:t>
      </w:r>
    </w:p>
    <w:p>
      <w:pPr>
        <w:spacing w:after="90" w:before="0" w:line="276"/>
      </w:pPr>
      <w:r>
        <w:rPr>
          <w:rFonts w:ascii="Calibri" w:cs="Calibri" w:eastAsia="Calibri" w:hAnsi="Calibri"/>
          <w:sz w:val="20"/>
          <w:szCs w:val="20"/>
        </w:rPr>
        <w:t xml:space="preserve">H4 — Portefeuille sous suivi M3 : 40 à 60 fonds/GPs et 10 à 20 co-investissements directs, avec réception de 150 à 250 documents de fonds par trimestre (capital calls, NAV, quarterly reports).</w:t>
      </w:r>
    </w:p>
    <w:p>
      <w:pPr>
        <w:spacing w:after="90" w:before="0" w:line="276"/>
      </w:pPr>
      <w:r>
        <w:rPr>
          <w:rFonts w:ascii="Calibri" w:cs="Calibri" w:eastAsia="Calibri" w:hAnsi="Calibri"/>
          <w:sz w:val="20"/>
          <w:szCs w:val="20"/>
        </w:rPr>
        <w:t xml:space="preserve">H5 — Stack collaborative existante non connue avec certitude : deux cas sont traités en parallèle, Microsoft 365 (Outlook/Teams/SharePoint) et Google Workspace (Gmail/Drive/Meet), car ce choix change directement la recommandation M1.</w:t>
      </w:r>
    </w:p>
    <w:p>
      <w:pPr>
        <w:spacing w:after="90" w:before="0" w:line="276"/>
      </w:pPr>
      <w:r>
        <w:rPr>
          <w:rFonts w:ascii="Calibri" w:cs="Calibri" w:eastAsia="Calibri" w:hAnsi="Calibri"/>
          <w:sz w:val="20"/>
          <w:szCs w:val="20"/>
        </w:rPr>
        <w:t xml:space="preserve">H6 — Budget implicite : enveloppe de 40 000 € à 220 000 € HT en année 1 selon le scénario retenu, cohérente avec un family office sans DSI dédiée (l'IT représente typiquement moins de 1 % des frais de gestion d'une structure de cette taille).</w:t>
      </w:r>
    </w:p>
    <w:p>
      <w:pPr>
        <w:spacing w:after="90" w:before="0" w:line="276"/>
      </w:pPr>
      <w:r>
        <w:rPr>
          <w:rFonts w:ascii="Calibri" w:cs="Calibri" w:eastAsia="Calibri" w:hAnsi="Calibri"/>
          <w:sz w:val="20"/>
          <w:szCs w:val="20"/>
        </w:rPr>
        <w:t xml:space="preserve">H7 — Aucune ressource technique interne permanente ; la mise en œuvre s'appuie sur un stagiaire technique (4 à 6 mois) et, au-delà du scénario Frugal, sur un prestataire externe valorisé à 800-900 €/jour HT (taux de marché consultant/data engineer freelance en France, 2026).</w:t>
      </w:r>
    </w:p>
    <w:p>
      <w:pPr>
        <w:spacing w:after="90" w:before="0" w:line="276"/>
      </w:pPr>
      <w:r>
        <w:rPr>
          <w:rFonts w:ascii="Calibri" w:cs="Calibri" w:eastAsia="Calibri" w:hAnsi="Calibri"/>
          <w:sz w:val="20"/>
          <w:szCs w:val="20"/>
        </w:rPr>
        <w:t xml:space="preserve">H8 — Plus de 90 % des documents de fonds (capital calls, NAV, rapports trimestriels) sont reçus par e-mail au format PDF non structuré, sans API ni portail standardisé côté GPs.</w:t>
      </w:r>
    </w:p>
    <w:p>
      <w:pPr>
        <w:spacing w:after="90" w:before="0" w:line="276"/>
      </w:pPr>
      <w:r>
        <w:rPr>
          <w:rFonts w:ascii="Calibri" w:cs="Calibri" w:eastAsia="Calibri" w:hAnsi="Calibri"/>
          <w:sz w:val="20"/>
          <w:szCs w:val="20"/>
        </w:rPr>
        <w:t xml:space="preserve">H9 — Contraintes de confidentialité fortes : clauses NDA usuelles interdisant l'entraînement de modèles tiers sur les données transmises et imposant, sauf exception, un hébergement en Union européenne.</w:t>
      </w:r>
    </w:p>
    <w:p>
      <w:pPr>
        <w:spacing w:after="90" w:before="0" w:line="276"/>
      </w:pPr>
      <w:r>
        <w:rPr>
          <w:rFonts w:ascii="Calibri" w:cs="Calibri" w:eastAsia="Calibri" w:hAnsi="Calibri"/>
          <w:sz w:val="20"/>
          <w:szCs w:val="20"/>
        </w:rPr>
        <w:t xml:space="preserve">H10 — Horizon d'analyse : 12 mois pour la mise en œuvre initiale, 3 ans pour le coût total de possession (TCO), avec un objectif de montée en charge vers 8-10 utilisateurs.</w:t>
      </w:r>
    </w:p>
    <w:p>
      <w:pPr>
        <w:spacing w:after="90" w:before="0" w:line="276"/>
      </w:pPr>
      <w:r>
        <w:rPr>
          <w:rFonts w:ascii="Calibri" w:cs="Calibri" w:eastAsia="Calibri" w:hAnsi="Calibri"/>
          <w:sz w:val="20"/>
          <w:szCs w:val="20"/>
        </w:rPr>
        <w:t xml:space="preserve">H11 — Aucun outil IA gouverné n'est déployé à ce jour ; usage individuel non structuré de ChatGPT, Claude et/ou Perplexity par certains collaborateurs (shadow IT).</w:t>
      </w:r>
    </w:p>
    <w:p>
      <w:pPr>
        <w:spacing w:after="90" w:before="0" w:line="276"/>
      </w:pPr>
      <w:r>
        <w:rPr>
          <w:rFonts w:ascii="Calibri" w:cs="Calibri" w:eastAsia="Calibri" w:hAnsi="Calibri"/>
          <w:sz w:val="20"/>
          <w:szCs w:val="20"/>
        </w:rPr>
        <w:t xml:space="preserve">H12 — Tarifs exprimés en euros HT ; les tarifs sourcés en dollars sont convertis au taux indicatif 1 USD ≈ 0,92 € (taux de marché mi-2026), et chaque tarif est daté de sa consultation (26/07/2026 sauf mention contraire).</w:t>
      </w:r>
    </w:p>
    <w:p>
      <w:r>
        <w:br w:type="page"/>
      </w:r>
    </w:p>
    <w:p>
      <w:pPr>
        <w:pStyle w:val="Heading1"/>
        <w:spacing w:after="200" w:before="420"/>
      </w:pPr>
      <w:r>
        <w:rPr>
          <w:rFonts w:ascii="Calibri" w:cs="Calibri" w:eastAsia="Calibri" w:hAnsi="Calibri"/>
          <w:b/>
          <w:bCs/>
          <w:color w:val="2E5266"/>
          <w:sz w:val="30"/>
          <w:szCs w:val="30"/>
        </w:rPr>
        <w:t xml:space="preserve">1. Synthèse exécutive</w:t>
      </w:r>
    </w:p>
    <w:p>
      <w:pPr>
        <w:spacing w:after="200" w:before="0" w:line="276"/>
      </w:pPr>
      <w:r>
        <w:rPr>
          <w:rFonts w:ascii="Calibri" w:cs="Calibri" w:eastAsia="Calibri" w:hAnsi="Calibri"/>
          <w:b/>
          <w:bCs/>
          <w:sz w:val="21"/>
          <w:szCs w:val="21"/>
        </w:rPr>
        <w:t xml:space="preserve">Juniclair gère aujourd'hui sa connaissance et son suivi de portefeuille dans des outils bureautiques dispersés ; la recommandation est un scénario hybride séquencé qui démarre en configuration légère (buy/no-code) et bascule progressivement vers un cœur propriétaire (build) sur 12 à 18 mois, pour un budget cible de 57 000 € HT en année 1.</w:t>
      </w:r>
    </w:p>
    <w:p>
      <w:pPr>
        <w:pStyle w:val="Heading2"/>
        <w:spacing w:after="140" w:before="300"/>
      </w:pPr>
      <w:r>
        <w:rPr>
          <w:rFonts w:ascii="Calibri" w:cs="Calibri" w:eastAsia="Calibri" w:hAnsi="Calibri"/>
          <w:b/>
          <w:bCs/>
          <w:color w:val="1F2937"/>
          <w:sz w:val="25"/>
          <w:szCs w:val="25"/>
        </w:rPr>
        <w:t xml:space="preserve">Le constat</w:t>
      </w:r>
    </w:p>
    <w:p>
      <w:pPr>
        <w:spacing w:after="160" w:before="0" w:line="276"/>
      </w:pPr>
      <w:r>
        <w:rPr>
          <w:rFonts w:ascii="Calibri" w:cs="Calibri" w:eastAsia="Calibri" w:hAnsi="Calibri"/>
          <w:sz w:val="21"/>
          <w:szCs w:val="21"/>
        </w:rPr>
        <w:t xml:space="preserve">L'équipe consacre un temps disproportionné à deux tâches à faible valeur ajoutée : rechercher une information déjà produite (mémo, DDQ, compte rendu) dans des dossiers SharePoint/Drive et des boîtes mail, et ressaisir manuellement dans Excel les données de fonds (NAV, appels de capital, distributions) reçues trimestriellement en PDF non structuré de dizaines de GPs différents. Aucun outil IA n'est aujourd'hui gouverné : l'usage de ChatGPT, Claude ou Perplexity par les collaborateurs est individuel, non tracé, et potentiellement à risque au regard des clauses de confidentialité NDA qui couvrent une large part des documents manipulés (H9, H11).</w:t>
      </w:r>
    </w:p>
    <w:p>
      <w:pPr>
        <w:pStyle w:val="Heading2"/>
        <w:spacing w:after="140" w:before="300"/>
      </w:pPr>
      <w:r>
        <w:rPr>
          <w:rFonts w:ascii="Calibri" w:cs="Calibri" w:eastAsia="Calibri" w:hAnsi="Calibri"/>
          <w:b/>
          <w:bCs/>
          <w:color w:val="1F2937"/>
          <w:sz w:val="25"/>
          <w:szCs w:val="25"/>
        </w:rPr>
        <w:t xml:space="preserve">La recommandation</w:t>
      </w:r>
    </w:p>
    <w:p>
      <w:pPr>
        <w:spacing w:after="160" w:before="0" w:line="276"/>
      </w:pPr>
      <w:r>
        <w:rPr>
          <w:rFonts w:ascii="Calibri" w:cs="Calibri" w:eastAsia="Calibri" w:hAnsi="Calibri"/>
          <w:sz w:val="21"/>
          <w:szCs w:val="21"/>
        </w:rPr>
        <w:t xml:space="preserve">Retenir le scénario D — Hybride séquencé (détaillé en section 3) : démarrer par les quick wins natifs de la suite collaborative existante et par une brique d'automatisation légère (M1 et M3), tout en lançant en parallèle le développement d'un noyau RAG propriétaire ciblé sur la base documentaire interne. Ce noyau devient, à 12-18 mois, le socle commun de M1 et M2, ce qui répond à l'exigence de confidentialité maximale (H9) et évite la dépendance à un éditeur pour l'actif le plus stratégique de Juniclair : sa mémoire d'investissement. Les briques commoditisées (données de marché, visualisation BI) restent achetées en SaaS, car les reconstruire n'aurait aucune valeur différenciante.</w:t>
      </w:r>
    </w:p>
    <w:p>
      <w:pPr>
        <w:pStyle w:val="Heading2"/>
        <w:spacing w:after="140" w:before="300"/>
      </w:pPr>
      <w:r>
        <w:rPr>
          <w:rFonts w:ascii="Calibri" w:cs="Calibri" w:eastAsia="Calibri" w:hAnsi="Calibri"/>
          <w:b/>
          <w:bCs/>
          <w:color w:val="1F2937"/>
          <w:sz w:val="25"/>
          <w:szCs w:val="25"/>
        </w:rPr>
        <w:t xml:space="preserve">Budget cible sur 12 mois</w:t>
      </w:r>
    </w:p>
    <w:p>
      <w:pPr>
        <w:spacing w:after="160" w:before="0" w:line="276"/>
      </w:pPr>
      <w:r>
        <w:rPr>
          <w:rFonts w:ascii="Calibri" w:cs="Calibri" w:eastAsia="Calibri" w:hAnsi="Calibri"/>
          <w:sz w:val="21"/>
          <w:szCs w:val="21"/>
        </w:rPr>
        <w:t xml:space="preserve">57 000 € HT en année 1 (socle Intermédiaire à 43 100 € HT + pilote de RAG propriétaire à 13 500 € HT sur M1, détail section 5), soit environ 790 €/utilisateur/mois sur une base de 6 utilisateurs. Ce budget finance un M1 opérationnel, un M3 en configuration Frugal/Intermédiaire (Airtable + automatisation) et un premier pilote M2 sur 2-3 dossiers réels. Le passage à un budget Ambitieux (environ 209 000 € HT, section 5) n'est justifié qu'après validation du pilote et clarification du volume réel de due diligence.</w:t>
      </w:r>
    </w:p>
    <w:p>
      <w:pPr>
        <w:pStyle w:val="Heading2"/>
        <w:spacing w:after="140" w:before="300"/>
      </w:pPr>
      <w:r>
        <w:rPr>
          <w:rFonts w:ascii="Calibri" w:cs="Calibri" w:eastAsia="Calibri" w:hAnsi="Calibri"/>
          <w:b/>
          <w:bCs/>
          <w:color w:val="1F2937"/>
          <w:sz w:val="25"/>
          <w:szCs w:val="25"/>
        </w:rPr>
        <w:t xml:space="preserve">Les trois décisions à prendre maintenant</w:t>
      </w:r>
    </w:p>
    <w:p>
      <w:pPr>
        <w:pStyle w:val="ListParagraph"/>
        <w:numPr>
          <w:ilvl w:val="0"/>
          <w:numId w:val="2"/>
        </w:numPr>
        <w:spacing w:after="80"/>
      </w:pPr>
      <w:r>
        <w:rPr>
          <w:rFonts w:ascii="Calibri" w:cs="Calibri" w:eastAsia="Calibri" w:hAnsi="Calibri"/>
          <w:sz w:val="20"/>
          <w:szCs w:val="20"/>
        </w:rPr>
        <w:t xml:space="preserve">Valider le cap architecture : approuver le scénario Hybride séquencé (D) comme trajectoire cible, avec bascule vers un cœur propriétaire (build) sur M1/M2 d'ici 12-18 mois — décision structurante qui conditionne tous les choix d'outils qui suivent.</w:t>
      </w:r>
    </w:p>
    <w:p>
      <w:pPr>
        <w:pStyle w:val="ListParagraph"/>
        <w:numPr>
          <w:ilvl w:val="0"/>
          <w:numId w:val="2"/>
        </w:numPr>
        <w:spacing w:after="80"/>
      </w:pPr>
      <w:r>
        <w:rPr>
          <w:rFonts w:ascii="Calibri" w:cs="Calibri" w:eastAsia="Calibri" w:hAnsi="Calibri"/>
          <w:sz w:val="20"/>
          <w:szCs w:val="20"/>
        </w:rPr>
        <w:t xml:space="preserve">Activer le quick win M1 sous 30 jours : selon la suite collaborative en place (Microsoft 365 ou Google Workspace, à confirmer — H5), activer respectivement Copilot ou Gemini en configuration native, sans attendre le budget Ambitieux.</w:t>
      </w:r>
    </w:p>
    <w:p>
      <w:pPr>
        <w:pStyle w:val="ListParagraph"/>
        <w:numPr>
          <w:ilvl w:val="0"/>
          <w:numId w:val="2"/>
        </w:numPr>
        <w:spacing w:after="80"/>
      </w:pPr>
      <w:r>
        <w:rPr>
          <w:rFonts w:ascii="Calibri" w:cs="Calibri" w:eastAsia="Calibri" w:hAnsi="Calibri"/>
          <w:sz w:val="20"/>
          <w:szCs w:val="20"/>
        </w:rPr>
        <w:t xml:space="preserve">Lancer un appel d'offres restreint à 3 devis sur la brique M3 d'extraction des documents de fonds (Canoe Intelligence vs Vestberry vs pipeline interne Make/n8n) : c'est le poste le plus structurant pour la qualité conjointe de M2 et M3, et celui dont le délai fournisseur est le plus long.</w:t>
      </w:r>
    </w:p>
    <w:p>
      <w:r>
        <w:br w:type="page"/>
      </w:r>
    </w:p>
    <w:p>
      <w:pPr>
        <w:pStyle w:val="Heading1"/>
        <w:spacing w:after="200" w:before="420"/>
      </w:pPr>
      <w:r>
        <w:rPr>
          <w:rFonts w:ascii="Calibri" w:cs="Calibri" w:eastAsia="Calibri" w:hAnsi="Calibri"/>
          <w:b/>
          <w:bCs/>
          <w:color w:val="2E5266"/>
          <w:sz w:val="30"/>
          <w:szCs w:val="30"/>
        </w:rPr>
        <w:t xml:space="preserve">2. Cadrage des besoins</w:t>
      </w:r>
    </w:p>
    <w:p>
      <w:pPr>
        <w:spacing w:after="200" w:before="0" w:line="276"/>
      </w:pPr>
      <w:r>
        <w:rPr>
          <w:rFonts w:ascii="Calibri" w:cs="Calibri" w:eastAsia="Calibri" w:hAnsi="Calibri"/>
          <w:b/>
          <w:bCs/>
          <w:sz w:val="21"/>
          <w:szCs w:val="21"/>
        </w:rPr>
        <w:t xml:space="preserve">Les trois modules répondent à des besoins distincts mais interdépendants : M1 est le socle documentaire dont dépend la qualité de M2, et M3 est d'abord un problème de collecte de données avant d'être un problème d'IA.</w:t>
      </w:r>
    </w:p>
    <w:p>
      <w:pPr>
        <w:pStyle w:val="Heading2"/>
        <w:spacing w:after="140" w:before="300"/>
      </w:pPr>
      <w:r>
        <w:rPr>
          <w:rFonts w:ascii="Calibri" w:cs="Calibri" w:eastAsia="Calibri" w:hAnsi="Calibri"/>
          <w:b/>
          <w:bCs/>
          <w:color w:val="1F2937"/>
          <w:sz w:val="25"/>
          <w:szCs w:val="25"/>
        </w:rPr>
        <w:t xml:space="preserve">M1 — Assistant de connaissance interne</w:t>
      </w:r>
    </w:p>
    <w:p>
      <w:pPr>
        <w:spacing w:after="160" w:before="0" w:line="276"/>
      </w:pPr>
      <w:r>
        <w:rPr>
          <w:rFonts w:ascii="Calibri" w:cs="Calibri" w:eastAsia="Calibri" w:hAnsi="Calibri"/>
          <w:sz w:val="21"/>
          <w:szCs w:val="21"/>
        </w:rPr>
        <w:t xml:space="preserve">Cas d'usage concrets :</w:t>
      </w:r>
    </w:p>
    <w:p>
      <w:pPr>
        <w:pStyle w:val="ListParagraph"/>
        <w:numPr>
          <w:ilvl w:val="0"/>
          <w:numId w:val="2"/>
        </w:numPr>
        <w:spacing w:after="80"/>
      </w:pPr>
      <w:r>
        <w:rPr>
          <w:rFonts w:ascii="Calibri" w:cs="Calibri" w:eastAsia="Calibri" w:hAnsi="Calibri"/>
          <w:sz w:val="20"/>
          <w:szCs w:val="20"/>
        </w:rPr>
        <w:t xml:space="preserve">Retrouver instantanément tout mémo, DDQ ou compte rendu mentionnant un GP, une société ou un secteur donné, sans dépendre de la mémoire d'un collaborateur.</w:t>
      </w:r>
    </w:p>
    <w:p>
      <w:pPr>
        <w:pStyle w:val="ListParagraph"/>
        <w:numPr>
          <w:ilvl w:val="0"/>
          <w:numId w:val="2"/>
        </w:numPr>
        <w:spacing w:after="80"/>
      </w:pPr>
      <w:r>
        <w:rPr>
          <w:rFonts w:ascii="Calibri" w:cs="Calibri" w:eastAsia="Calibri" w:hAnsi="Calibri"/>
          <w:sz w:val="20"/>
          <w:szCs w:val="20"/>
        </w:rPr>
        <w:t xml:space="preserve">Résumer un rapport trimestriel de 30-50 pages en 5 points clés avant une réunion.</w:t>
      </w:r>
    </w:p>
    <w:p>
      <w:pPr>
        <w:pStyle w:val="ListParagraph"/>
        <w:numPr>
          <w:ilvl w:val="0"/>
          <w:numId w:val="2"/>
        </w:numPr>
        <w:spacing w:after="80"/>
      </w:pPr>
      <w:r>
        <w:rPr>
          <w:rFonts w:ascii="Calibri" w:cs="Calibri" w:eastAsia="Calibri" w:hAnsi="Calibri"/>
          <w:sz w:val="20"/>
          <w:szCs w:val="20"/>
        </w:rPr>
        <w:t xml:space="preserve">Retrouver la position prise par le comité sur un fonds lors d'une décision antérieure, et les raisons invoquées.</w:t>
      </w:r>
    </w:p>
    <w:p>
      <w:pPr>
        <w:spacing w:after="160" w:before="0" w:line="276"/>
      </w:pPr>
      <w:r>
        <w:rPr>
          <w:rFonts w:ascii="Calibri" w:cs="Calibri" w:eastAsia="Calibri" w:hAnsi="Calibri"/>
          <w:sz w:val="21"/>
          <w:szCs w:val="21"/>
        </w:rPr>
        <w:t xml:space="preserve">Utilisateurs : les 6 membres de l'équipe d'investissement (H1), en priorité les 3-4 chargés d'investissement. Volumétrie : 8 000 à 12 000 documents au démarrage, +150 à 250/mois, 15 à 25 requêtes/jour en régime de croisière (H2, H3).</w:t>
      </w:r>
    </w:p>
    <w:p>
      <w:pPr>
        <w:spacing w:after="160" w:before="0" w:line="276"/>
      </w:pPr>
      <w:r>
        <w:rPr>
          <w:rFonts w:ascii="Calibri" w:cs="Calibri" w:eastAsia="Calibri" w:hAnsi="Calibri"/>
          <w:sz w:val="21"/>
          <w:szCs w:val="21"/>
        </w:rPr>
        <w:t xml:space="preserve">Critères de succès mesurables :</w:t>
      </w:r>
    </w:p>
    <w:p>
      <w:pPr>
        <w:pStyle w:val="ListParagraph"/>
        <w:numPr>
          <w:ilvl w:val="0"/>
          <w:numId w:val="2"/>
        </w:numPr>
        <w:spacing w:after="80"/>
      </w:pPr>
      <w:r>
        <w:rPr>
          <w:rFonts w:ascii="Calibri" w:cs="Calibri" w:eastAsia="Calibri" w:hAnsi="Calibri"/>
          <w:sz w:val="20"/>
          <w:szCs w:val="20"/>
        </w:rPr>
        <w:t xml:space="preserve">Taux de bonnes réponses ≥ 90 % sur un échantillon test de 50 questions représentatives, validé par l'équipe avant généralisation.</w:t>
      </w:r>
    </w:p>
    <w:p>
      <w:pPr>
        <w:pStyle w:val="ListParagraph"/>
        <w:numPr>
          <w:ilvl w:val="0"/>
          <w:numId w:val="2"/>
        </w:numPr>
        <w:spacing w:after="80"/>
      </w:pPr>
      <w:r>
        <w:rPr>
          <w:rFonts w:ascii="Calibri" w:cs="Calibri" w:eastAsia="Calibri" w:hAnsi="Calibri"/>
          <w:sz w:val="20"/>
          <w:szCs w:val="20"/>
        </w:rPr>
        <w:t xml:space="preserve">Temps de recherche moyen divisé par 5 (cible : de 15 minutes à 3 minutes par recherche documentaire).</w:t>
      </w:r>
    </w:p>
    <w:p>
      <w:pPr>
        <w:pStyle w:val="ListParagraph"/>
        <w:numPr>
          <w:ilvl w:val="0"/>
          <w:numId w:val="2"/>
        </w:numPr>
        <w:spacing w:after="80"/>
      </w:pPr>
      <w:r>
        <w:rPr>
          <w:rFonts w:ascii="Calibri" w:cs="Calibri" w:eastAsia="Calibri" w:hAnsi="Calibri"/>
          <w:sz w:val="20"/>
          <w:szCs w:val="20"/>
        </w:rPr>
        <w:t xml:space="preserve">Adoption hebdomadaire par 100 % de l'équipe dans les 60 jours suivant la mise en production.</w:t>
      </w:r>
    </w:p>
    <w:p>
      <w:pPr>
        <w:pStyle w:val="Heading2"/>
        <w:spacing w:after="140" w:before="300"/>
      </w:pPr>
      <w:r>
        <w:rPr>
          <w:rFonts w:ascii="Calibri" w:cs="Calibri" w:eastAsia="Calibri" w:hAnsi="Calibri"/>
          <w:b/>
          <w:bCs/>
          <w:color w:val="1F2937"/>
          <w:sz w:val="25"/>
          <w:szCs w:val="25"/>
        </w:rPr>
        <w:t xml:space="preserve">M2 — Copilote de due diligence</w:t>
      </w:r>
    </w:p>
    <w:p>
      <w:pPr>
        <w:spacing w:after="160" w:before="0" w:line="276"/>
      </w:pPr>
      <w:r>
        <w:rPr>
          <w:rFonts w:ascii="Calibri" w:cs="Calibri" w:eastAsia="Calibri" w:hAnsi="Calibri"/>
          <w:sz w:val="21"/>
          <w:szCs w:val="21"/>
        </w:rPr>
        <w:t xml:space="preserve">Cas d'usage concrets :</w:t>
      </w:r>
    </w:p>
    <w:p>
      <w:pPr>
        <w:pStyle w:val="ListParagraph"/>
        <w:numPr>
          <w:ilvl w:val="0"/>
          <w:numId w:val="2"/>
        </w:numPr>
        <w:spacing w:after="80"/>
      </w:pPr>
      <w:r>
        <w:rPr>
          <w:rFonts w:ascii="Calibri" w:cs="Calibri" w:eastAsia="Calibri" w:hAnsi="Calibri"/>
          <w:sz w:val="20"/>
          <w:szCs w:val="20"/>
        </w:rPr>
        <w:t xml:space="preserve">Générer une note préliminaire sur une société cible (marché, concurrents, signaux d'alerte) en moins de 2 heures au lieu d'1 à 2 jours.</w:t>
      </w:r>
    </w:p>
    <w:p>
      <w:pPr>
        <w:pStyle w:val="ListParagraph"/>
        <w:numPr>
          <w:ilvl w:val="0"/>
          <w:numId w:val="2"/>
        </w:numPr>
        <w:spacing w:after="80"/>
      </w:pPr>
      <w:r>
        <w:rPr>
          <w:rFonts w:ascii="Calibri" w:cs="Calibri" w:eastAsia="Calibri" w:hAnsi="Calibri"/>
          <w:sz w:val="20"/>
          <w:szCs w:val="20"/>
        </w:rPr>
        <w:t xml:space="preserve">Comparer un GP candidat à son track record et à ses pairs sur la base des données de marché disponibles.</w:t>
      </w:r>
    </w:p>
    <w:p>
      <w:pPr>
        <w:pStyle w:val="ListParagraph"/>
        <w:numPr>
          <w:ilvl w:val="0"/>
          <w:numId w:val="2"/>
        </w:numPr>
        <w:spacing w:after="80"/>
      </w:pPr>
      <w:r>
        <w:rPr>
          <w:rFonts w:ascii="Calibri" w:cs="Calibri" w:eastAsia="Calibri" w:hAnsi="Calibri"/>
          <w:sz w:val="20"/>
          <w:szCs w:val="20"/>
        </w:rPr>
        <w:t xml:space="preserve">Synthétiser une data room de 100 à 300 documents et produire une checklist de due diligence.</w:t>
      </w:r>
    </w:p>
    <w:p>
      <w:pPr>
        <w:spacing w:after="160" w:before="0" w:line="276"/>
      </w:pPr>
      <w:r>
        <w:rPr>
          <w:rFonts w:ascii="Calibri" w:cs="Calibri" w:eastAsia="Calibri" w:hAnsi="Calibri"/>
          <w:sz w:val="21"/>
          <w:szCs w:val="21"/>
        </w:rPr>
        <w:t xml:space="preserve">Utilisateurs : les 3-4 analystes et le décideur. Volumétrie : 15 à 25 due diligences approfondies par an (fonds et co-investissements confondus), chacune mobilisant 50 à 300 documents.</w:t>
      </w:r>
    </w:p>
    <w:p>
      <w:pPr>
        <w:spacing w:after="160" w:before="0" w:line="276"/>
      </w:pPr>
      <w:r>
        <w:rPr>
          <w:rFonts w:ascii="Calibri" w:cs="Calibri" w:eastAsia="Calibri" w:hAnsi="Calibri"/>
          <w:sz w:val="21"/>
          <w:szCs w:val="21"/>
        </w:rPr>
        <w:t xml:space="preserve">Critères de succès mesurables :</w:t>
      </w:r>
    </w:p>
    <w:p>
      <w:pPr>
        <w:pStyle w:val="ListParagraph"/>
        <w:numPr>
          <w:ilvl w:val="0"/>
          <w:numId w:val="2"/>
        </w:numPr>
        <w:spacing w:after="80"/>
      </w:pPr>
      <w:r>
        <w:rPr>
          <w:rFonts w:ascii="Calibri" w:cs="Calibri" w:eastAsia="Calibri" w:hAnsi="Calibri"/>
          <w:sz w:val="20"/>
          <w:szCs w:val="20"/>
        </w:rPr>
        <w:t xml:space="preserve">Temps de préparation d'une note préliminaire réduit d'au moins 40 %.</w:t>
      </w:r>
    </w:p>
    <w:p>
      <w:pPr>
        <w:pStyle w:val="ListParagraph"/>
        <w:numPr>
          <w:ilvl w:val="0"/>
          <w:numId w:val="2"/>
        </w:numPr>
        <w:spacing w:after="80"/>
      </w:pPr>
      <w:r>
        <w:rPr>
          <w:rFonts w:ascii="Calibri" w:cs="Calibri" w:eastAsia="Calibri" w:hAnsi="Calibri"/>
          <w:sz w:val="20"/>
          <w:szCs w:val="20"/>
        </w:rPr>
        <w:t xml:space="preserve">Taux de couverture des points de contrôle standards de la checklist de DD ≥ 95 %.</w:t>
      </w:r>
    </w:p>
    <w:p>
      <w:pPr>
        <w:pStyle w:val="ListParagraph"/>
        <w:numPr>
          <w:ilvl w:val="0"/>
          <w:numId w:val="2"/>
        </w:numPr>
        <w:spacing w:after="80"/>
      </w:pPr>
      <w:r>
        <w:rPr>
          <w:rFonts w:ascii="Calibri" w:cs="Calibri" w:eastAsia="Calibri" w:hAnsi="Calibri"/>
          <w:sz w:val="20"/>
          <w:szCs w:val="20"/>
        </w:rPr>
        <w:t xml:space="preserve">Zéro erreur factuelle non détectée dans les notes diffusées en comité : tout chiffre engageant reste soumis à revue humaine systématique (voir section 8).</w:t>
      </w:r>
    </w:p>
    <w:p>
      <w:pPr>
        <w:pStyle w:val="Heading2"/>
        <w:spacing w:after="140" w:before="300"/>
      </w:pPr>
      <w:r>
        <w:rPr>
          <w:rFonts w:ascii="Calibri" w:cs="Calibri" w:eastAsia="Calibri" w:hAnsi="Calibri"/>
          <w:b/>
          <w:bCs/>
          <w:color w:val="1F2937"/>
          <w:sz w:val="25"/>
          <w:szCs w:val="25"/>
        </w:rPr>
        <w:t xml:space="preserve">M3 — Suivi de portefeuille</w:t>
      </w:r>
    </w:p>
    <w:p>
      <w:pPr>
        <w:spacing w:after="160" w:before="0" w:line="276"/>
      </w:pPr>
      <w:r>
        <w:rPr>
          <w:rFonts w:ascii="Calibri" w:cs="Calibri" w:eastAsia="Calibri" w:hAnsi="Calibri"/>
          <w:sz w:val="21"/>
          <w:szCs w:val="21"/>
        </w:rPr>
        <w:t xml:space="preserve">Cas d'usage concrets :</w:t>
      </w:r>
    </w:p>
    <w:p>
      <w:pPr>
        <w:pStyle w:val="ListParagraph"/>
        <w:numPr>
          <w:ilvl w:val="0"/>
          <w:numId w:val="2"/>
        </w:numPr>
        <w:spacing w:after="80"/>
      </w:pPr>
      <w:r>
        <w:rPr>
          <w:rFonts w:ascii="Calibri" w:cs="Calibri" w:eastAsia="Calibri" w:hAnsi="Calibri"/>
          <w:sz w:val="20"/>
          <w:szCs w:val="20"/>
        </w:rPr>
        <w:t xml:space="preserve">Tableau de bord consolidé NAV, IRR, TVPI/DPI par fonds et par millésime, actualisé trimestriellement sans ressaisie manuelle.</w:t>
      </w:r>
    </w:p>
    <w:p>
      <w:pPr>
        <w:pStyle w:val="ListParagraph"/>
        <w:numPr>
          <w:ilvl w:val="0"/>
          <w:numId w:val="2"/>
        </w:numPr>
        <w:spacing w:after="80"/>
      </w:pPr>
      <w:r>
        <w:rPr>
          <w:rFonts w:ascii="Calibri" w:cs="Calibri" w:eastAsia="Calibri" w:hAnsi="Calibri"/>
          <w:sz w:val="20"/>
          <w:szCs w:val="20"/>
        </w:rPr>
        <w:t xml:space="preserve">Alertes automatiques sur un retard de reporting GP ou une échéance de capital call.</w:t>
      </w:r>
    </w:p>
    <w:p>
      <w:pPr>
        <w:pStyle w:val="ListParagraph"/>
        <w:numPr>
          <w:ilvl w:val="0"/>
          <w:numId w:val="2"/>
        </w:numPr>
        <w:spacing w:after="80"/>
      </w:pPr>
      <w:r>
        <w:rPr>
          <w:rFonts w:ascii="Calibri" w:cs="Calibri" w:eastAsia="Calibri" w:hAnsi="Calibri"/>
          <w:sz w:val="20"/>
          <w:szCs w:val="20"/>
        </w:rPr>
        <w:t xml:space="preserve">Vue consolidée des engagements, appels et distributions, en remplacement du fichier Excel maître actuel.</w:t>
      </w:r>
    </w:p>
    <w:p>
      <w:pPr>
        <w:spacing w:after="160" w:before="0" w:line="276"/>
      </w:pPr>
      <w:r>
        <w:rPr>
          <w:rFonts w:ascii="Calibri" w:cs="Calibri" w:eastAsia="Calibri" w:hAnsi="Calibri"/>
          <w:sz w:val="21"/>
          <w:szCs w:val="21"/>
        </w:rPr>
        <w:t xml:space="preserve">Utilisateurs : toute l'équipe, plus un usage de reporting vers les organes de gouvernance de Batipart. Volumétrie : 40 à 60 fonds/GPs et 10 à 20 co-investissements directs, 150 à 250 documents de fonds reçus par trimestre (H4, H8).</w:t>
      </w:r>
    </w:p>
    <w:p>
      <w:pPr>
        <w:spacing w:after="160" w:before="0" w:line="276"/>
      </w:pPr>
      <w:r>
        <w:rPr>
          <w:rFonts w:ascii="Calibri" w:cs="Calibri" w:eastAsia="Calibri" w:hAnsi="Calibri"/>
          <w:sz w:val="21"/>
          <w:szCs w:val="21"/>
        </w:rPr>
        <w:t xml:space="preserve">Critères de succès mesurables :</w:t>
      </w:r>
    </w:p>
    <w:p>
      <w:pPr>
        <w:pStyle w:val="ListParagraph"/>
        <w:numPr>
          <w:ilvl w:val="0"/>
          <w:numId w:val="2"/>
        </w:numPr>
        <w:spacing w:after="80"/>
      </w:pPr>
      <w:r>
        <w:rPr>
          <w:rFonts w:ascii="Calibri" w:cs="Calibri" w:eastAsia="Calibri" w:hAnsi="Calibri"/>
          <w:sz w:val="20"/>
          <w:szCs w:val="20"/>
        </w:rPr>
        <w:t xml:space="preserve">Délai de mise à jour du dashboard après réception d'un document divisé par 10 (cible : de 2 heures de ressaisie manuelle à moins de 15 minutes de vérification).</w:t>
      </w:r>
    </w:p>
    <w:p>
      <w:pPr>
        <w:pStyle w:val="ListParagraph"/>
        <w:numPr>
          <w:ilvl w:val="0"/>
          <w:numId w:val="2"/>
        </w:numPr>
        <w:spacing w:after="80"/>
      </w:pPr>
      <w:r>
        <w:rPr>
          <w:rFonts w:ascii="Calibri" w:cs="Calibri" w:eastAsia="Calibri" w:hAnsi="Calibri"/>
          <w:sz w:val="20"/>
          <w:szCs w:val="20"/>
        </w:rPr>
        <w:t xml:space="preserve">Taux d'automatisation de l'extraction ≥ 80 % sur les champs clés (NAV, appels, distributions).</w:t>
      </w:r>
    </w:p>
    <w:p>
      <w:pPr>
        <w:pStyle w:val="ListParagraph"/>
        <w:numPr>
          <w:ilvl w:val="0"/>
          <w:numId w:val="2"/>
        </w:numPr>
        <w:spacing w:after="80"/>
      </w:pPr>
      <w:r>
        <w:rPr>
          <w:rFonts w:ascii="Calibri" w:cs="Calibri" w:eastAsia="Calibri" w:hAnsi="Calibri"/>
          <w:sz w:val="20"/>
          <w:szCs w:val="20"/>
        </w:rPr>
        <w:t xml:space="preserve">Zéro erreur de ressaisie sur les chiffres consolidés remontés en comité.</w:t>
      </w:r>
    </w:p>
    <w:p>
      <w:r>
        <w:br w:type="page"/>
      </w:r>
    </w:p>
    <w:p>
      <w:pPr>
        <w:pStyle w:val="Heading1"/>
        <w:spacing w:after="200" w:before="420"/>
      </w:pPr>
      <w:r>
        <w:rPr>
          <w:rFonts w:ascii="Calibri" w:cs="Calibri" w:eastAsia="Calibri" w:hAnsi="Calibri"/>
          <w:b/>
          <w:bCs/>
          <w:color w:val="2E5266"/>
          <w:sz w:val="30"/>
          <w:szCs w:val="30"/>
        </w:rPr>
        <w:t xml:space="preserve">3. Le choix structurant : quatre scénarios d'architecture</w:t>
      </w:r>
    </w:p>
    <w:p>
      <w:pPr>
        <w:spacing w:after="200" w:before="0" w:line="276"/>
      </w:pPr>
      <w:r>
        <w:rPr>
          <w:rFonts w:ascii="Calibri" w:cs="Calibri" w:eastAsia="Calibri" w:hAnsi="Calibri"/>
          <w:b/>
          <w:bCs/>
          <w:sz w:val="21"/>
          <w:szCs w:val="21"/>
        </w:rPr>
        <w:t xml:space="preserve">Aucun des quatre scénarios n'est optimal seul : le SaaS sur étagère va vite mais coûte cher et enferme la donnée, le sur-mesure protège tout mais démarre lentement — le scénario hybride séquencé combine les deux dans le temps.</w:t>
      </w:r>
    </w:p>
    <w:p>
      <w:pPr>
        <w:spacing w:after="160" w:before="0" w:line="276"/>
      </w:pPr>
      <w:r>
        <w:rPr>
          <w:rFonts w:ascii="Calibri" w:cs="Calibri" w:eastAsia="Calibri" w:hAnsi="Calibri"/>
          <w:sz w:val="21"/>
          <w:szCs w:val="21"/>
        </w:rPr>
        <w:t xml:space="preserve">(A) SaaS sur étagère / suite intégrée : acheter une plateforme fermée qui couvre un module de bout en bout (ex. Glean pour M1, Allvue pour M3). (B) Assemblage no-code/low-code : combiner des briques existantes (Airtable, Make/n8n, Notion) sans écrire de code applicatif. (C) Développement sur mesure : construire un RAG propriétaire (orchestration + base vectorielle + modèle via API) et une base de données interne. (D) Hybride séquencé : démarrer en A/B pour les gains rapides et les briques commoditisées, puis basculer vers C pour le cœur stratégique (connaissance interne, données de portefeuille) une fois le besoin validé.</w:t>
      </w:r>
    </w:p>
    <w:tbl>
      <w:tblPr>
        <w:tblW w:type="dxa" w:w="11466"/>
        <w:tblBorders>
          <w:top w:val="single" w:color="B7BFC9" w:sz="2"/>
          <w:left w:val="single" w:color="B7BFC9" w:sz="2"/>
          <w:bottom w:val="single" w:color="B7BFC9" w:sz="2"/>
          <w:right w:val="single" w:color="B7BFC9" w:sz="2"/>
          <w:insideH w:val="single" w:color="D3D8DE" w:sz="2"/>
          <w:insideV w:val="single" w:color="D3D8DE" w:sz="2"/>
        </w:tblBorders>
      </w:tblPr>
      <w:tblGrid>
        <w:gridCol w:w="2400"/>
        <w:gridCol w:w="1750"/>
        <w:gridCol w:w="1500"/>
        <w:gridCol w:w="1450"/>
        <w:gridCol w:w="1550"/>
        <w:gridCol w:w="1350"/>
        <w:gridCol w:w="1466"/>
      </w:tblGrid>
      <w:tr>
        <w:trPr>
          <w:tblHeader/>
        </w:trPr>
        <w:tc>
          <w:tcPr>
            <w:tcW w:type="dxa" w:w="2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Scénario</w:t>
            </w:r>
          </w:p>
        </w:tc>
        <w:tc>
          <w:tcPr>
            <w:tcW w:type="dxa" w:w="17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Coût</w:t>
            </w:r>
          </w:p>
        </w:tc>
        <w:tc>
          <w:tcPr>
            <w:tcW w:type="dxa" w:w="15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Délai</w:t>
            </w:r>
          </w:p>
        </w:tc>
        <w:tc>
          <w:tcPr>
            <w:tcW w:type="dxa" w:w="14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Effort interne</w:t>
            </w:r>
          </w:p>
        </w:tc>
        <w:tc>
          <w:tcPr>
            <w:tcW w:type="dxa" w:w="15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Confidentialité</w:t>
            </w:r>
          </w:p>
        </w:tc>
        <w:tc>
          <w:tcPr>
            <w:tcW w:type="dxa" w:w="13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Évolutivité</w:t>
            </w:r>
          </w:p>
        </w:tc>
        <w:tc>
          <w:tcPr>
            <w:tcW w:type="dxa" w:w="14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Dépendance fournisseur</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A — SaaS sur étagère</w:t>
            </w:r>
          </w:p>
        </w:tc>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Élevé (licences empilées + minima contractuels, ex. Glean ≥ 50 k$/an)</w:t>
            </w:r>
          </w:p>
        </w:tc>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Rapide : 2-6 semaines</w:t>
            </w:r>
          </w:p>
        </w:tc>
        <w:tc>
          <w:tcPr>
            <w:tcW w:type="dxa" w:w="1450"/>
            <w:tcMar>
              <w:top w:type="dxa" w:w="50"/>
              <w:left w:type="dxa" w:w="80"/>
              <w:bottom w:type="dxa" w:w="50"/>
              <w:right w:type="dxa" w:w="80"/>
            </w:tcMar>
            <w:vAlign w:val="center"/>
          </w:tcPr>
          <w:p>
            <w:pPr>
              <w:spacing w:after="0"/>
            </w:pPr>
            <w:r>
              <w:rPr>
                <w:rFonts w:ascii="Calibri" w:cs="Calibri" w:eastAsia="Calibri" w:hAnsi="Calibri"/>
                <w:sz w:val="16"/>
                <w:szCs w:val="16"/>
              </w:rPr>
              <w:t xml:space="preserve">Faible</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Variable : bonne en tier Enterprise, mais donnée hébergée chez le tiers</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Bonne dans le périmètre du produit, faible au-delà</w:t>
            </w:r>
          </w:p>
        </w:tc>
        <w:tc>
          <w:tcPr>
            <w:tcW w:type="dxa" w:w="1466"/>
            <w:tcMar>
              <w:top w:type="dxa" w:w="50"/>
              <w:left w:type="dxa" w:w="80"/>
              <w:bottom w:type="dxa" w:w="50"/>
              <w:right w:type="dxa" w:w="80"/>
            </w:tcMar>
            <w:vAlign w:val="center"/>
          </w:tcPr>
          <w:p>
            <w:pPr>
              <w:spacing w:after="0"/>
            </w:pPr>
            <w:r>
              <w:rPr>
                <w:rFonts w:ascii="Calibri" w:cs="Calibri" w:eastAsia="Calibri" w:hAnsi="Calibri"/>
                <w:sz w:val="16"/>
                <w:szCs w:val="16"/>
              </w:rPr>
              <w:t xml:space="preserve">Forte : format propriétaire, migration coûteuse</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B — No-code/low-code</w:t>
            </w:r>
          </w:p>
        </w:tc>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Modéré (quelques centaines d'€/mois)</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Rapide à moyen : 4-8 semaines</w:t>
            </w:r>
          </w:p>
        </w:tc>
        <w:tc>
          <w:tcPr>
            <w:tcW w:type="dxa" w:w="14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Moyen à élevé (maintenance par un profil non-développeur outillé)</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Moyenne : multiplie les sous-traitants et les DPA à gérer</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Limitée : plafonds de volumétrie Airtable/Make atteints vers 60-80 fonds suivis</w:t>
            </w:r>
          </w:p>
        </w:tc>
        <w:tc>
          <w:tcPr>
            <w:tcW w:type="dxa" w:w="14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Moyenne, répartie sur plusieurs briques</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C — Développement sur mesure</w:t>
            </w:r>
          </w:p>
        </w:tc>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Élevé, concentré en année 1 (build ≈ 60 k€, section 5)</w:t>
            </w:r>
          </w:p>
        </w:tc>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Long : 3-6 mois avant mise en production robuste</w:t>
            </w:r>
          </w:p>
        </w:tc>
        <w:tc>
          <w:tcPr>
            <w:tcW w:type="dxa" w:w="1450"/>
            <w:tcMar>
              <w:top w:type="dxa" w:w="50"/>
              <w:left w:type="dxa" w:w="80"/>
              <w:bottom w:type="dxa" w:w="50"/>
              <w:right w:type="dxa" w:w="80"/>
            </w:tcMar>
            <w:vAlign w:val="center"/>
          </w:tcPr>
          <w:p>
            <w:pPr>
              <w:spacing w:after="0"/>
            </w:pPr>
            <w:r>
              <w:rPr>
                <w:rFonts w:ascii="Calibri" w:cs="Calibri" w:eastAsia="Calibri" w:hAnsi="Calibri"/>
                <w:sz w:val="16"/>
                <w:szCs w:val="16"/>
              </w:rPr>
              <w:t xml:space="preserve">Élevé : pilotage technique requis (prestataire ou recrutement)</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Excellente : maîtrise totale de l'hébergement et des flux</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Excellente : conçue pour le volume cible</w:t>
            </w:r>
          </w:p>
        </w:tc>
        <w:tc>
          <w:tcPr>
            <w:tcW w:type="dxa" w:w="1466"/>
            <w:tcMar>
              <w:top w:type="dxa" w:w="50"/>
              <w:left w:type="dxa" w:w="80"/>
              <w:bottom w:type="dxa" w:w="50"/>
              <w:right w:type="dxa" w:w="80"/>
            </w:tcMar>
            <w:vAlign w:val="center"/>
          </w:tcPr>
          <w:p>
            <w:pPr>
              <w:spacing w:after="0"/>
            </w:pPr>
            <w:r>
              <w:rPr>
                <w:rFonts w:ascii="Calibri" w:cs="Calibri" w:eastAsia="Calibri" w:hAnsi="Calibri"/>
                <w:sz w:val="16"/>
                <w:szCs w:val="16"/>
              </w:rPr>
              <w:t xml:space="preserve">Faible : limitée aux briques d'infrastructure (API LLM, cloud)</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 — Hybride séquencé (retenu)</w:t>
            </w:r>
          </w:p>
        </w:tc>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Progressif : léger en année 1, croissant ensuite</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Gains rapides en 2-4 semaines, montée en charge sur 12-18 mois</w:t>
            </w:r>
          </w:p>
        </w:tc>
        <w:tc>
          <w:tcPr>
            <w:tcW w:type="dxa" w:w="14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Progressif, aligné sur la maturité de l'équipe</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Bonne à excellente, s'améliore avec la bascule vers C</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Excellente, conçue pour grandir</w:t>
            </w:r>
          </w:p>
        </w:tc>
        <w:tc>
          <w:tcPr>
            <w:tcW w:type="dxa" w:w="14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Décroissante dans le temps</w:t>
            </w:r>
          </w:p>
        </w:tc>
      </w:tr>
    </w:tbl>
    <w:p>
      <w:pPr>
        <w:spacing w:after="100" w:before="60" w:line="276"/>
      </w:pPr>
      <w:r>
        <w:rPr>
          <w:rFonts w:ascii="Calibri" w:cs="Calibri" w:eastAsia="Calibri" w:hAnsi="Calibri"/>
          <w:b/>
          <w:bCs/>
          <w:i/>
          <w:iCs/>
          <w:color w:val="2E5266"/>
          <w:sz w:val="18"/>
          <w:szCs w:val="18"/>
        </w:rPr>
        <w:t xml:space="preserve">Tableau 1 — Comparaison des quatre scénarios d'architecture</w:t>
      </w:r>
    </w:p>
    <w:p>
      <w:pPr>
        <w:spacing w:after="160" w:before="0" w:line="276"/>
      </w:pPr>
      <w:r>
        <w:rPr>
          <w:rFonts w:ascii="Calibri" w:cs="Calibri" w:eastAsia="Calibri" w:hAnsi="Calibri"/>
          <w:sz w:val="20"/>
          <w:szCs w:val="20"/>
        </w:rPr>
        <w:t xml:space="preserve">Verdict : le scénario D est retenu comme trajectoire. Le scénario A est conservé ponctuellement pour les briques commoditisées (données de marché, visualisation BI). Le scénario B est la porte d'entrée du pilote mais plafonne rapidement en volumétrie et en confidentialité. Le scénario C est la cible à 12-18 mois pour le cœur M1/M2, dès lors que le pilote aura validé la valeur d'usage.</w:t>
      </w:r>
    </w:p>
    <w:p>
      <w:r>
        <w:br w:type="page"/>
      </w:r>
    </w:p>
    <w:p>
      <w:pPr>
        <w:pStyle w:val="Heading1"/>
        <w:spacing w:after="200" w:before="420"/>
      </w:pPr>
      <w:r>
        <w:rPr>
          <w:rFonts w:ascii="Calibri" w:cs="Calibri" w:eastAsia="Calibri" w:hAnsi="Calibri"/>
          <w:b/>
          <w:bCs/>
          <w:color w:val="2E5266"/>
          <w:sz w:val="30"/>
          <w:szCs w:val="30"/>
        </w:rPr>
        <w:t xml:space="preserve">4. Benchmark détaillé par module</w:t>
      </w:r>
    </w:p>
    <w:p>
      <w:pPr>
        <w:spacing w:after="200" w:before="0" w:line="276"/>
      </w:pPr>
      <w:r>
        <w:rPr>
          <w:rFonts w:ascii="Calibri" w:cs="Calibri" w:eastAsia="Calibri" w:hAnsi="Calibri"/>
          <w:b/>
          <w:bCs/>
          <w:sz w:val="21"/>
          <w:szCs w:val="21"/>
        </w:rPr>
        <w:t xml:space="preserve">Le marché est mature sur les trois modules mais rarement dimensionné pour une équipe de 6 personnes : la plupart des solutions institutionnelles imposent des seuils (sièges minimum, contrats annuels à 5-6 chiffres) hors de portée, ce qui oriente mécaniquement vers des options plus légères ou vers le build.</w:t>
      </w:r>
    </w:p>
    <w:p>
      <w:pPr>
        <w:pStyle w:val="Heading2"/>
        <w:spacing w:after="140" w:before="300"/>
      </w:pPr>
      <w:r>
        <w:rPr>
          <w:rFonts w:ascii="Calibri" w:cs="Calibri" w:eastAsia="Calibri" w:hAnsi="Calibri"/>
          <w:b/>
          <w:bCs/>
          <w:color w:val="1F2937"/>
          <w:sz w:val="25"/>
          <w:szCs w:val="25"/>
        </w:rPr>
        <w:t xml:space="preserve">M1 — Assistant de connaissance interne</w:t>
      </w:r>
    </w:p>
    <w:p>
      <w:pPr>
        <w:spacing w:after="160" w:before="0" w:line="276"/>
      </w:pPr>
      <w:r>
        <w:rPr>
          <w:rFonts w:ascii="Calibri" w:cs="Calibri" w:eastAsia="Calibri" w:hAnsi="Calibri"/>
          <w:sz w:val="21"/>
          <w:szCs w:val="21"/>
        </w:rPr>
        <w:t xml:space="preserve">L'existant change la donne : si Juniclair est sur Microsoft 365, Copilot s'intègre nativement à SharePoint/Teams/Outlook sans migration de données ; si Juniclair est sur Google Workspace, Gemini est désormais inclus dans les forfaits Business Standard et Plus sans surcoût d'add-on dédié depuis mars 2025, ce qui rend le point d'entrée encore plus économique côté Workspace. Les deux cas sont traités dans le tableau ci-dessous (H5).</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100"/>
        <w:gridCol w:w="1650"/>
        <w:gridCol w:w="3316"/>
        <w:gridCol w:w="3400"/>
      </w:tblGrid>
      <w:tr>
        <w:trPr>
          <w:tblHeader/>
        </w:trPr>
        <w:tc>
          <w:tcPr>
            <w:tcW w:type="dxa" w:w="21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16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Positionnement</w:t>
            </w:r>
          </w:p>
        </w:tc>
        <w:tc>
          <w:tcPr>
            <w:tcW w:type="dxa" w:w="331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Points forts</w:t>
            </w:r>
          </w:p>
        </w:tc>
        <w:tc>
          <w:tcPr>
            <w:tcW w:type="dxa" w:w="3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Limites</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Microsoft 365 Copilot</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Suite généraliste intégrée M365</w:t>
            </w:r>
          </w:p>
        </w:tc>
        <w:tc>
          <w:tcPr>
            <w:tcW w:type="dxa" w:w="3316"/>
            <w:tcMar>
              <w:top w:type="dxa" w:w="50"/>
              <w:left w:type="dxa" w:w="80"/>
              <w:bottom w:type="dxa" w:w="50"/>
              <w:right w:type="dxa" w:w="80"/>
            </w:tcMar>
            <w:vAlign w:val="center"/>
          </w:tcPr>
          <w:p>
            <w:pPr>
              <w:spacing w:after="0"/>
            </w:pPr>
            <w:r>
              <w:rPr>
                <w:rFonts w:ascii="Calibri" w:cs="Calibri" w:eastAsia="Calibri" w:hAnsi="Calibri"/>
                <w:sz w:val="16"/>
                <w:szCs w:val="16"/>
              </w:rPr>
              <w:t xml:space="preserve">Recherche native Outlook/Teams/SharePoint ; aucune migration de données ; citations des sources</w:t>
            </w:r>
          </w:p>
        </w:tc>
        <w:tc>
          <w:tcPr>
            <w:tcW w:type="dxa" w:w="3400"/>
            <w:tcMar>
              <w:top w:type="dxa" w:w="50"/>
              <w:left w:type="dxa" w:w="80"/>
              <w:bottom w:type="dxa" w:w="50"/>
              <w:right w:type="dxa" w:w="80"/>
            </w:tcMar>
            <w:vAlign w:val="center"/>
          </w:tcPr>
          <w:p>
            <w:pPr>
              <w:spacing w:after="0"/>
            </w:pPr>
            <w:r>
              <w:rPr>
                <w:rFonts w:ascii="Calibri" w:cs="Calibri" w:eastAsia="Calibri" w:hAnsi="Calibri"/>
                <w:sz w:val="16"/>
                <w:szCs w:val="16"/>
              </w:rPr>
              <w:t xml:space="preserve">Nécessite une licence de base M365 E3/E5 qualifiante ; coût réel 2 à 3x le prix de l'add-on</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Google Gemini for Workspace</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Suite généraliste intégrée Workspace</w:t>
            </w:r>
          </w:p>
        </w:tc>
        <w:tc>
          <w:tcPr>
            <w:tcW w:type="dxa" w:w="33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Inclus dans les forfaits Business dès l'entrée de gamme depuis mars 2025 ; intégration Gmail/Drive/Docs native</w:t>
            </w:r>
          </w:p>
        </w:tc>
        <w:tc>
          <w:tcPr>
            <w:tcW w:type="dxa" w:w="3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Capacités avancées d'agent réservées à l'add-on AI Expanded Access (surcoût)</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Glean</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Moteur de recherche d'entreprise dédié</w:t>
            </w:r>
          </w:p>
        </w:tc>
        <w:tc>
          <w:tcPr>
            <w:tcW w:type="dxa" w:w="3316"/>
            <w:tcMar>
              <w:top w:type="dxa" w:w="50"/>
              <w:left w:type="dxa" w:w="80"/>
              <w:bottom w:type="dxa" w:w="50"/>
              <w:right w:type="dxa" w:w="80"/>
            </w:tcMar>
            <w:vAlign w:val="center"/>
          </w:tcPr>
          <w:p>
            <w:pPr>
              <w:spacing w:after="0"/>
            </w:pPr>
            <w:r>
              <w:rPr>
                <w:rFonts w:ascii="Calibri" w:cs="Calibri" w:eastAsia="Calibri" w:hAnsi="Calibri"/>
                <w:sz w:val="16"/>
                <w:szCs w:val="16"/>
              </w:rPr>
              <w:t xml:space="preserve">Connecteurs très larges (100+ sources), qualité de recherche fédérée reconnue</w:t>
            </w:r>
          </w:p>
        </w:tc>
        <w:tc>
          <w:tcPr>
            <w:tcW w:type="dxa" w:w="3400"/>
            <w:tcMar>
              <w:top w:type="dxa" w:w="50"/>
              <w:left w:type="dxa" w:w="80"/>
              <w:bottom w:type="dxa" w:w="50"/>
              <w:right w:type="dxa" w:w="80"/>
            </w:tcMar>
            <w:vAlign w:val="center"/>
          </w:tcPr>
          <w:p>
            <w:pPr>
              <w:spacing w:after="0"/>
            </w:pPr>
            <w:r>
              <w:rPr>
                <w:rFonts w:ascii="Calibri" w:cs="Calibri" w:eastAsia="Calibri" w:hAnsi="Calibri"/>
                <w:sz w:val="16"/>
                <w:szCs w:val="16"/>
              </w:rPr>
              <w:t xml:space="preserve">Seuil d'entrée ≈100+ sièges et ≈50-60 k$/an minimum ; POC payant jusqu'à 70 k$ ; hors budget pour 6 utilisateurs</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Notion AI / Notion Business</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Suite collaborative avec recherche IA intégrée</w:t>
            </w:r>
          </w:p>
        </w:tc>
        <w:tc>
          <w:tcPr>
            <w:tcW w:type="dxa" w:w="33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Économique si la base documentaire migre vers Notion ; recherche d'entreprise incluse en plan Business</w:t>
            </w:r>
          </w:p>
        </w:tc>
        <w:tc>
          <w:tcPr>
            <w:tcW w:type="dxa" w:w="3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Redondant si SharePoint/Drive reste le référentiel documentaire principal</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Claude Enterprise / Projects</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Assistant généraliste avec espaces de travail documentaires</w:t>
            </w:r>
          </w:p>
        </w:tc>
        <w:tc>
          <w:tcPr>
            <w:tcW w:type="dxa" w:w="3316"/>
            <w:tcMar>
              <w:top w:type="dxa" w:w="50"/>
              <w:left w:type="dxa" w:w="80"/>
              <w:bottom w:type="dxa" w:w="50"/>
              <w:right w:type="dxa" w:w="80"/>
            </w:tcMar>
            <w:vAlign w:val="center"/>
          </w:tcPr>
          <w:p>
            <w:pPr>
              <w:spacing w:after="0"/>
            </w:pPr>
            <w:r>
              <w:rPr>
                <w:rFonts w:ascii="Calibri" w:cs="Calibri" w:eastAsia="Calibri" w:hAnsi="Calibri"/>
                <w:sz w:val="16"/>
                <w:szCs w:val="16"/>
              </w:rPr>
              <w:t xml:space="preserve">Excellente qualité d'analyse sur documents longs ; citations fiables</w:t>
            </w:r>
          </w:p>
        </w:tc>
        <w:tc>
          <w:tcPr>
            <w:tcW w:type="dxa" w:w="3400"/>
            <w:tcMar>
              <w:top w:type="dxa" w:w="50"/>
              <w:left w:type="dxa" w:w="80"/>
              <w:bottom w:type="dxa" w:w="50"/>
              <w:right w:type="dxa" w:w="80"/>
            </w:tcMar>
            <w:vAlign w:val="center"/>
          </w:tcPr>
          <w:p>
            <w:pPr>
              <w:spacing w:after="0"/>
            </w:pPr>
            <w:r>
              <w:rPr>
                <w:rFonts w:ascii="Calibri" w:cs="Calibri" w:eastAsia="Calibri" w:hAnsi="Calibri"/>
                <w:sz w:val="16"/>
                <w:szCs w:val="16"/>
              </w:rPr>
              <w:t xml:space="preserve">Seuil de 20 sièges minimum en Enterprise, bloquant en self-serve pour 6 utilisateurs</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ChatGPT Enterprise</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Assistant généraliste avec GPTs/Projects internes</w:t>
            </w:r>
          </w:p>
        </w:tc>
        <w:tc>
          <w:tcPr>
            <w:tcW w:type="dxa" w:w="33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Écosystème large, connecteurs tiers nombreux</w:t>
            </w:r>
          </w:p>
        </w:tc>
        <w:tc>
          <w:tcPr>
            <w:tcW w:type="dxa" w:w="3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Tarif négocié (45-75 $/siège/mois) et seuil ≈150 sièges rapporté par le marché ; hors de portée</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RAG propriétaire (orchestration + base vectorielle + API LLM)</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Développement sur mesure (scénario C)</w:t>
            </w:r>
          </w:p>
        </w:tc>
        <w:tc>
          <w:tcPr>
            <w:tcW w:type="dxa" w:w="3316"/>
            <w:tcMar>
              <w:top w:type="dxa" w:w="50"/>
              <w:left w:type="dxa" w:w="80"/>
              <w:bottom w:type="dxa" w:w="50"/>
              <w:right w:type="dxa" w:w="80"/>
            </w:tcMar>
            <w:vAlign w:val="center"/>
          </w:tcPr>
          <w:p>
            <w:pPr>
              <w:spacing w:after="0"/>
            </w:pPr>
            <w:r>
              <w:rPr>
                <w:rFonts w:ascii="Calibri" w:cs="Calibri" w:eastAsia="Calibri" w:hAnsi="Calibri"/>
                <w:sz w:val="16"/>
                <w:szCs w:val="16"/>
              </w:rPr>
              <w:t xml:space="preserve">Confidentialité maximale ; coût marginal décroissant avec le volume ; propriété totale de la donnée</w:t>
            </w:r>
          </w:p>
        </w:tc>
        <w:tc>
          <w:tcPr>
            <w:tcW w:type="dxa" w:w="3400"/>
            <w:tcMar>
              <w:top w:type="dxa" w:w="50"/>
              <w:left w:type="dxa" w:w="80"/>
              <w:bottom w:type="dxa" w:w="50"/>
              <w:right w:type="dxa" w:w="80"/>
            </w:tcMar>
            <w:vAlign w:val="center"/>
          </w:tcPr>
          <w:p>
            <w:pPr>
              <w:spacing w:after="0"/>
            </w:pPr>
            <w:r>
              <w:rPr>
                <w:rFonts w:ascii="Calibri" w:cs="Calibri" w:eastAsia="Calibri" w:hAnsi="Calibri"/>
                <w:sz w:val="16"/>
                <w:szCs w:val="16"/>
              </w:rPr>
              <w:t xml:space="preserve">Délai de mise en œuvre (2-3 mois) et compétence technique requise</w:t>
            </w:r>
          </w:p>
        </w:tc>
      </w:tr>
    </w:tbl>
    <w:p>
      <w:pPr>
        <w:spacing w:after="100" w:before="60" w:line="276"/>
      </w:pPr>
      <w:r>
        <w:rPr>
          <w:rFonts w:ascii="Calibri" w:cs="Calibri" w:eastAsia="Calibri" w:hAnsi="Calibri"/>
          <w:b/>
          <w:bCs/>
          <w:i/>
          <w:iCs/>
          <w:color w:val="2E5266"/>
          <w:sz w:val="18"/>
          <w:szCs w:val="18"/>
        </w:rPr>
        <w:t xml:space="preserve">Tableau 2 — M1, positionnement et limites</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100"/>
        <w:gridCol w:w="2050"/>
        <w:gridCol w:w="2000"/>
        <w:gridCol w:w="2966"/>
        <w:gridCol w:w="1350"/>
      </w:tblGrid>
      <w:tr>
        <w:trPr>
          <w:tblHeader/>
        </w:trPr>
        <w:tc>
          <w:tcPr>
            <w:tcW w:type="dxa" w:w="21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20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Hébergement / résidence</w:t>
            </w:r>
          </w:p>
        </w:tc>
        <w:tc>
          <w:tcPr>
            <w:tcW w:type="dxa" w:w="20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Clause d'entraînement</w:t>
            </w:r>
          </w:p>
        </w:tc>
        <w:tc>
          <w:tcPr>
            <w:tcW w:type="dxa" w:w="29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Tarif public</w:t>
            </w:r>
          </w:p>
        </w:tc>
        <w:tc>
          <w:tcPr>
            <w:tcW w:type="dxa" w:w="13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Verdict</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Microsoft 365 Copilot</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 (France Central, Sweden Central)</w:t>
            </w:r>
          </w:p>
        </w:tc>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(clients commerciaux)</w:t>
            </w:r>
          </w:p>
        </w:tc>
        <w:tc>
          <w:tcPr>
            <w:tcW w:type="dxa" w:w="2966"/>
            <w:tcMar>
              <w:top w:type="dxa" w:w="50"/>
              <w:left w:type="dxa" w:w="80"/>
              <w:bottom w:type="dxa" w:w="50"/>
              <w:right w:type="dxa" w:w="80"/>
            </w:tcMar>
            <w:vAlign w:val="center"/>
          </w:tcPr>
          <w:p>
            <w:pPr>
              <w:spacing w:after="0"/>
            </w:pPr>
            <w:r>
              <w:rPr>
                <w:rFonts w:ascii="Calibri" w:cs="Calibri" w:eastAsia="Calibri" w:hAnsi="Calibri"/>
                <w:sz w:val="16"/>
                <w:szCs w:val="16"/>
              </w:rPr>
              <w:t xml:space="preserve">18-21 $/mois/utilisateur (SMB, promo jusqu'au 30/06/2026) ; 30 $/mois/utilisateur (Entreprise, annuel)</w:t>
            </w:r>
          </w:p>
        </w:tc>
        <w:tc>
          <w:tcPr>
            <w:tcW w:type="dxa" w:w="135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si stack M365</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Google Gemini for Workspace</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 selon configuration</w:t>
            </w:r>
          </w:p>
        </w:tc>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(Workspace)</w:t>
            </w:r>
          </w:p>
        </w:tc>
        <w:tc>
          <w:tcPr>
            <w:tcW w:type="dxa" w:w="29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Inclus dès 7-22 $/mois/utilisateur (forfaits Business, Gemini inclus) ; add-on avancé ≈20 $/mois</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si stack Google</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Glean</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UE possible (déploiement BYOC)</w:t>
            </w:r>
          </w:p>
        </w:tc>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296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estimation marché 45-50 $/siège/mois + 15 $/siège add-on IA, minimum ≈50-60 k$/an</w:t>
            </w:r>
          </w:p>
        </w:tc>
        <w:tc>
          <w:tcPr>
            <w:tcW w:type="dxa" w:w="1350"/>
            <w:tcMar>
              <w:top w:type="dxa" w:w="50"/>
              <w:left w:type="dxa" w:w="80"/>
              <w:bottom w:type="dxa" w:w="50"/>
              <w:right w:type="dxa" w:w="80"/>
            </w:tcMar>
            <w:vAlign w:val="center"/>
          </w:tcPr>
          <w:p>
            <w:pPr>
              <w:spacing w:after="0"/>
            </w:pPr>
            <w:r>
              <w:rPr>
                <w:rFonts w:ascii="Calibri" w:cs="Calibri" w:eastAsia="Calibri" w:hAnsi="Calibri"/>
                <w:b/>
                <w:bCs/>
                <w:color w:val="9B1C1C"/>
                <w:sz w:val="16"/>
                <w:szCs w:val="16"/>
              </w:rPr>
              <w:t xml:space="preserve">Écarté (seuil de sièges disproportionné)</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Notion AI / Notion Business</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w:t>
            </w:r>
          </w:p>
        </w:tc>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(plans payants)</w:t>
            </w:r>
          </w:p>
        </w:tc>
        <w:tc>
          <w:tcPr>
            <w:tcW w:type="dxa" w:w="29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20 $/mois/utilisateur annuel (plan Business, IA incluse)</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Claude Enterprise / Projects</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UE possible selon contrat</w:t>
            </w:r>
          </w:p>
        </w:tc>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par défaut ; ZDR disponible en Enterprise</w:t>
            </w:r>
          </w:p>
        </w:tc>
        <w:tc>
          <w:tcPr>
            <w:tcW w:type="dxa" w:w="2966"/>
            <w:tcMar>
              <w:top w:type="dxa" w:w="50"/>
              <w:left w:type="dxa" w:w="80"/>
              <w:bottom w:type="dxa" w:w="50"/>
              <w:right w:type="dxa" w:w="80"/>
            </w:tcMar>
            <w:vAlign w:val="center"/>
          </w:tcPr>
          <w:p>
            <w:pPr>
              <w:spacing w:after="0"/>
            </w:pPr>
            <w:r>
              <w:rPr>
                <w:rFonts w:ascii="Calibri" w:cs="Calibri" w:eastAsia="Calibri" w:hAnsi="Calibri"/>
                <w:sz w:val="16"/>
                <w:szCs w:val="16"/>
              </w:rPr>
              <w:t xml:space="preserve">À partir de 20 $/siège/mois (min. 20 sièges) ; Claude Pro individuel 20 $/mois en attendant</w:t>
            </w:r>
          </w:p>
        </w:tc>
        <w:tc>
          <w:tcPr>
            <w:tcW w:type="dxa" w:w="1350"/>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 (via Claude Pro à court terme)</w:t>
            </w:r>
          </w:p>
        </w:tc>
      </w:tr>
      <w:tr>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ChatGPT Enterprise</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 possible selon contrat</w:t>
            </w:r>
          </w:p>
        </w:tc>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(Enterprise/Team)</w:t>
            </w:r>
          </w:p>
        </w:tc>
        <w:tc>
          <w:tcPr>
            <w:tcW w:type="dxa" w:w="29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estimation marché 45-75 $/siège/mois, ≈150 sièges minimum rapporté</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b/>
                <w:bCs/>
                <w:color w:val="9B1C1C"/>
                <w:sz w:val="16"/>
                <w:szCs w:val="16"/>
              </w:rPr>
              <w:t xml:space="preserve">Écarté pour M1</w:t>
            </w:r>
          </w:p>
        </w:tc>
      </w:tr>
      <w:tr>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RAG propriétaire</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UE choisie par Juniclair (Azure OpenAI EU Data Zone : Sweden Central, Germany West Central, ou Anthropic API avec ZDR)</w:t>
            </w:r>
          </w:p>
        </w:tc>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(API standard + accord ZDR possible)</w:t>
            </w:r>
          </w:p>
        </w:tc>
        <w:tc>
          <w:tcPr>
            <w:tcW w:type="dxa" w:w="2966"/>
            <w:tcMar>
              <w:top w:type="dxa" w:w="50"/>
              <w:left w:type="dxa" w:w="80"/>
              <w:bottom w:type="dxa" w:w="50"/>
              <w:right w:type="dxa" w:w="80"/>
            </w:tcMar>
            <w:vAlign w:val="center"/>
          </w:tcPr>
          <w:p>
            <w:pPr>
              <w:spacing w:after="0"/>
            </w:pPr>
            <w:r>
              <w:rPr>
                <w:rFonts w:ascii="Calibri" w:cs="Calibri" w:eastAsia="Calibri" w:hAnsi="Calibri"/>
                <w:sz w:val="16"/>
                <w:szCs w:val="16"/>
              </w:rPr>
              <w:t xml:space="preserve">Coût d'usage API, voir section 5 (quelques centaines d'€/an à ce volume)</w:t>
            </w:r>
          </w:p>
        </w:tc>
        <w:tc>
          <w:tcPr>
            <w:tcW w:type="dxa" w:w="135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à moyen terme</w:t>
            </w:r>
          </w:p>
        </w:tc>
      </w:tr>
    </w:tbl>
    <w:p>
      <w:pPr>
        <w:spacing w:after="100" w:before="60" w:line="276"/>
      </w:pPr>
      <w:r>
        <w:rPr>
          <w:rFonts w:ascii="Calibri" w:cs="Calibri" w:eastAsia="Calibri" w:hAnsi="Calibri"/>
          <w:b/>
          <w:bCs/>
          <w:i/>
          <w:iCs/>
          <w:color w:val="2E5266"/>
          <w:sz w:val="18"/>
          <w:szCs w:val="18"/>
        </w:rPr>
        <w:t xml:space="preserve">Tableau 2 bis — M1, conditions commerciales et verdict (consulté le 26/07/2026)</w:t>
      </w:r>
    </w:p>
    <w:p>
      <w:pPr>
        <w:pStyle w:val="Heading2"/>
        <w:spacing w:after="140" w:before="300"/>
      </w:pPr>
      <w:r>
        <w:rPr>
          <w:rFonts w:ascii="Calibri" w:cs="Calibri" w:eastAsia="Calibri" w:hAnsi="Calibri"/>
          <w:b/>
          <w:bCs/>
          <w:color w:val="1F2937"/>
          <w:sz w:val="25"/>
          <w:szCs w:val="25"/>
        </w:rPr>
        <w:t xml:space="preserve">M2 — Copilote de due diligence</w:t>
      </w:r>
    </w:p>
    <w:p>
      <w:pPr>
        <w:spacing w:after="160" w:before="0" w:line="276"/>
      </w:pPr>
      <w:r>
        <w:rPr>
          <w:rFonts w:ascii="Calibri" w:cs="Calibri" w:eastAsia="Calibri" w:hAnsi="Calibri"/>
          <w:sz w:val="21"/>
          <w:szCs w:val="21"/>
        </w:rPr>
        <w:t xml:space="preserve">Trois couches distinctes composent M2, et c'est l'abonnement aux données de marché qui pèse le plus lourd dans le budget, bien avant le coût de l'IA elle-même : couche 1, les sources de données de marché (souvent facturées 25 000 à 70 000 €/an, sur devis) ; couche 2, les outils d'analyse documentaire et d'agents ; couche 3, la rédaction et l'orchestration, généralement peu coûteuse.</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1750"/>
        <w:gridCol w:w="1350"/>
        <w:gridCol w:w="1900"/>
        <w:gridCol w:w="2666"/>
        <w:gridCol w:w="2800"/>
      </w:tblGrid>
      <w:tr>
        <w:trPr>
          <w:tblHeader/>
        </w:trPr>
        <w:tc>
          <w:tcPr>
            <w:tcW w:type="dxa" w:w="17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13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Couche</w:t>
            </w:r>
          </w:p>
        </w:tc>
        <w:tc>
          <w:tcPr>
            <w:tcW w:type="dxa" w:w="19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Positionnement</w:t>
            </w:r>
          </w:p>
        </w:tc>
        <w:tc>
          <w:tcPr>
            <w:tcW w:type="dxa" w:w="26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Points forts</w:t>
            </w:r>
          </w:p>
        </w:tc>
        <w:tc>
          <w:tcPr>
            <w:tcW w:type="dxa" w:w="2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Limites</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PitchBook</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Données de marché</w:t>
            </w:r>
          </w:p>
        </w:tc>
        <w:tc>
          <w:tcPr>
            <w:tcW w:type="dxa" w:w="1900"/>
            <w:tcMar>
              <w:top w:type="dxa" w:w="50"/>
              <w:left w:type="dxa" w:w="80"/>
              <w:bottom w:type="dxa" w:w="50"/>
              <w:right w:type="dxa" w:w="80"/>
            </w:tcMar>
            <w:vAlign w:val="center"/>
          </w:tcPr>
          <w:p>
            <w:pPr>
              <w:spacing w:after="0"/>
            </w:pPr>
            <w:r>
              <w:rPr>
                <w:rFonts w:ascii="Calibri" w:cs="Calibri" w:eastAsia="Calibri" w:hAnsi="Calibri"/>
                <w:sz w:val="16"/>
                <w:szCs w:val="16"/>
              </w:rPr>
              <w:t xml:space="preserve">Référence GP/fonds/comparables private markets</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Couverture GP/LP la plus complète du marché</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Coût élevé, contrat annuel rigide</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Preqin (BlackRock/eFront/Aladdin)</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Données de marché</w:t>
            </w:r>
          </w:p>
        </w:tc>
        <w:tc>
          <w:tcPr>
            <w:tcW w:type="dxa" w:w="19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Données alternative assets, intégré à l'écosystème Aladdin</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Bonne couverture fonds/LP, désormais lié à eFront</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Recoupe largement PitchBook ; redondance de coût si les deux sont pris</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Crunchbase Pro/Enterprise</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Données de marché</w:t>
            </w:r>
          </w:p>
        </w:tc>
        <w:tc>
          <w:tcPr>
            <w:tcW w:type="dxa" w:w="1900"/>
            <w:tcMar>
              <w:top w:type="dxa" w:w="50"/>
              <w:left w:type="dxa" w:w="80"/>
              <w:bottom w:type="dxa" w:w="50"/>
              <w:right w:type="dxa" w:w="80"/>
            </w:tcMar>
            <w:vAlign w:val="center"/>
          </w:tcPr>
          <w:p>
            <w:pPr>
              <w:spacing w:after="0"/>
            </w:pPr>
            <w:r>
              <w:rPr>
                <w:rFonts w:ascii="Calibri" w:cs="Calibri" w:eastAsia="Calibri" w:hAnsi="Calibri"/>
                <w:sz w:val="16"/>
                <w:szCs w:val="16"/>
              </w:rPr>
              <w:t xml:space="preserve">Sourcing deals et sociétés tech</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Entrée économique, bon pour le dealflow direct</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Faible sur les données de fonds/GP historiques</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CB Insights</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Données de marché</w:t>
            </w:r>
          </w:p>
        </w:tc>
        <w:tc>
          <w:tcPr>
            <w:tcW w:type="dxa" w:w="19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Intelligence marché tech / corporate strategy</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Analyses sectorielles et signaux de marché riches</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Coût élevé pour une valeur ajoutée marginale sur le cas d'usage GP/fonds de Juniclair</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Hebbia</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Analyse documentaire / agents</w:t>
            </w:r>
          </w:p>
        </w:tc>
        <w:tc>
          <w:tcPr>
            <w:tcW w:type="dxa" w:w="1900"/>
            <w:tcMar>
              <w:top w:type="dxa" w:w="50"/>
              <w:left w:type="dxa" w:w="80"/>
              <w:bottom w:type="dxa" w:w="50"/>
              <w:right w:type="dxa" w:w="80"/>
            </w:tcMar>
            <w:vAlign w:val="center"/>
          </w:tcPr>
          <w:p>
            <w:pPr>
              <w:spacing w:after="0"/>
            </w:pPr>
            <w:r>
              <w:rPr>
                <w:rFonts w:ascii="Calibri" w:cs="Calibri" w:eastAsia="Calibri" w:hAnsi="Calibri"/>
                <w:sz w:val="16"/>
                <w:szCs w:val="16"/>
              </w:rPr>
              <w:t xml:space="preserve">Agent IA pour due diligence documentaire (banques, PE)</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Gain de temps documenté (20-30h/deal) sur le screening et la DD</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Coût par siège élevé, déploiements enterprise (six chiffres) pour les grands comptes</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Rogo</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Analyse documentaire / agents</w:t>
            </w:r>
          </w:p>
        </w:tc>
        <w:tc>
          <w:tcPr>
            <w:tcW w:type="dxa" w:w="19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Plateforme IA finance pour banques/PE/hedge funds</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Traction forte (Series D avril 2026, valorisation 750 M$)</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Aucune donnée tarifaire publique à ce jour</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Claude Enterprise / API</w:t>
            </w:r>
          </w:p>
        </w:tc>
        <w:tc>
          <w:tcPr>
            <w:tcW w:type="dxa" w:w="1350"/>
            <w:tcMar>
              <w:top w:type="dxa" w:w="50"/>
              <w:left w:type="dxa" w:w="80"/>
              <w:bottom w:type="dxa" w:w="50"/>
              <w:right w:type="dxa" w:w="80"/>
            </w:tcMar>
            <w:vAlign w:val="center"/>
          </w:tcPr>
          <w:p>
            <w:pPr>
              <w:spacing w:after="0"/>
            </w:pPr>
            <w:r>
              <w:rPr>
                <w:rFonts w:ascii="Calibri" w:cs="Calibri" w:eastAsia="Calibri" w:hAnsi="Calibri"/>
                <w:sz w:val="16"/>
                <w:szCs w:val="16"/>
              </w:rPr>
              <w:t xml:space="preserve">Rédaction / orchestration</w:t>
            </w:r>
          </w:p>
        </w:tc>
        <w:tc>
          <w:tcPr>
            <w:tcW w:type="dxa" w:w="1900"/>
            <w:tcMar>
              <w:top w:type="dxa" w:w="50"/>
              <w:left w:type="dxa" w:w="80"/>
              <w:bottom w:type="dxa" w:w="50"/>
              <w:right w:type="dxa" w:w="80"/>
            </w:tcMar>
            <w:vAlign w:val="center"/>
          </w:tcPr>
          <w:p>
            <w:pPr>
              <w:spacing w:after="0"/>
            </w:pPr>
            <w:r>
              <w:rPr>
                <w:rFonts w:ascii="Calibri" w:cs="Calibri" w:eastAsia="Calibri" w:hAnsi="Calibri"/>
                <w:sz w:val="16"/>
                <w:szCs w:val="16"/>
              </w:rPr>
              <w:t xml:space="preserve">Synthèse et rédaction de notes sur documents longs</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Meilleure qualité de rédaction sur data rooms volumineuses ; coût API maîtrisable</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Nécessite un prompt/workflow structuré pour un rendu homogène</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n8n / Make</w:t>
            </w:r>
          </w:p>
        </w:tc>
        <w:tc>
          <w:tcPr>
            <w:tcW w:type="dxa" w:w="13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Rédaction / orchestration</w:t>
            </w:r>
          </w:p>
        </w:tc>
        <w:tc>
          <w:tcPr>
            <w:tcW w:type="dxa" w:w="19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Automatisation de l'enchaînement recherche → analyse → rédaction</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Léger, pas de développement lourd requis</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Maintenance des scénarios à la charge de l'équipe</w:t>
            </w:r>
          </w:p>
        </w:tc>
      </w:tr>
    </w:tbl>
    <w:p>
      <w:pPr>
        <w:spacing w:after="100" w:before="60" w:line="276"/>
      </w:pPr>
      <w:r>
        <w:rPr>
          <w:rFonts w:ascii="Calibri" w:cs="Calibri" w:eastAsia="Calibri" w:hAnsi="Calibri"/>
          <w:b/>
          <w:bCs/>
          <w:i/>
          <w:iCs/>
          <w:color w:val="2E5266"/>
          <w:sz w:val="18"/>
          <w:szCs w:val="18"/>
        </w:rPr>
        <w:t xml:space="preserve">Tableau 3 — M2, les trois couches (positionnement et limites)</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1500"/>
        <w:gridCol w:w="1550"/>
        <w:gridCol w:w="1600"/>
        <w:gridCol w:w="1650"/>
        <w:gridCol w:w="2666"/>
        <w:gridCol w:w="1500"/>
      </w:tblGrid>
      <w:tr>
        <w:trPr>
          <w:tblHeader/>
        </w:trPr>
        <w:tc>
          <w:tcPr>
            <w:tcW w:type="dxa" w:w="15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15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Connecteurs</w:t>
            </w:r>
          </w:p>
        </w:tc>
        <w:tc>
          <w:tcPr>
            <w:tcW w:type="dxa" w:w="16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Hébergement / résidence</w:t>
            </w:r>
          </w:p>
        </w:tc>
        <w:tc>
          <w:tcPr>
            <w:tcW w:type="dxa" w:w="16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Clause d'entraînement</w:t>
            </w:r>
          </w:p>
        </w:tc>
        <w:tc>
          <w:tcPr>
            <w:tcW w:type="dxa" w:w="26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Tarif public</w:t>
            </w:r>
          </w:p>
        </w:tc>
        <w:tc>
          <w:tcPr>
            <w:tcW w:type="dxa" w:w="15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Verdict</w:t>
            </w:r>
          </w:p>
        </w:tc>
      </w:tr>
      <w:tr>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PitchBook</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Excel add-in, API, export CSV</w:t>
            </w:r>
          </w:p>
        </w:tc>
        <w:tc>
          <w:tcPr>
            <w:tcW w:type="dxa" w:w="1600"/>
            <w:tcMar>
              <w:top w:type="dxa" w:w="50"/>
              <w:left w:type="dxa" w:w="80"/>
              <w:bottom w:type="dxa" w:w="50"/>
              <w:right w:type="dxa" w:w="80"/>
            </w:tcMar>
            <w:vAlign w:val="center"/>
          </w:tcPr>
          <w:p>
            <w:pPr>
              <w:spacing w:after="0"/>
            </w:pPr>
            <w:r>
              <w:rPr>
                <w:rFonts w:ascii="Calibri" w:cs="Calibri" w:eastAsia="Calibri" w:hAnsi="Calibri"/>
                <w:sz w:val="16"/>
                <w:szCs w:val="16"/>
              </w:rPr>
              <w:t xml:space="preserve">US (hébergement Morningstar)</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Non applicable (données, pas de modèle sur données client)</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12 000 à 70 000 $/an selon sièges/modules ; contrat médian ≈30 000 $/an (Vendr)</w:t>
            </w:r>
          </w:p>
        </w:tc>
        <w:tc>
          <w:tcPr>
            <w:tcW w:type="dxa" w:w="150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(scénario Ambitieux)</w:t>
            </w:r>
          </w:p>
        </w:tc>
      </w:tr>
      <w:tr>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Preqin / eFront</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API, exports, intégration Aladdin</w:t>
            </w:r>
          </w:p>
        </w:tc>
        <w:tc>
          <w:tcPr>
            <w:tcW w:type="dxa" w:w="1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UE/US selon module</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applicable</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25 000 à 80 000 $/an ; API/feed +30-60 %</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w:t>
            </w:r>
          </w:p>
        </w:tc>
      </w:tr>
      <w:tr>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Crunchbase Pro/Enterprise</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API, CRM (Salesforce/HubSpot)</w:t>
            </w:r>
          </w:p>
        </w:tc>
        <w:tc>
          <w:tcPr>
            <w:tcW w:type="dxa" w:w="1600"/>
            <w:tcMar>
              <w:top w:type="dxa" w:w="50"/>
              <w:left w:type="dxa" w:w="80"/>
              <w:bottom w:type="dxa" w:w="50"/>
              <w:right w:type="dxa" w:w="80"/>
            </w:tcMar>
            <w:vAlign w:val="center"/>
          </w:tcPr>
          <w:p>
            <w:pPr>
              <w:spacing w:after="0"/>
            </w:pPr>
            <w:r>
              <w:rPr>
                <w:rFonts w:ascii="Calibri" w:cs="Calibri" w:eastAsia="Calibri" w:hAnsi="Calibri"/>
                <w:sz w:val="16"/>
                <w:szCs w:val="16"/>
              </w:rPr>
              <w:t xml:space="preserve">US</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Non applicable</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49 $/mois/utilisateur (Pro, annuel) ; Enterprise sur devis, ≈17 000 $/an moyen (Vendr)</w:t>
            </w:r>
          </w:p>
        </w:tc>
        <w:tc>
          <w:tcPr>
            <w:tcW w:type="dxa" w:w="150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(court terme)</w:t>
            </w:r>
          </w:p>
        </w:tc>
      </w:tr>
      <w:tr>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CB Insights</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API, exports</w:t>
            </w:r>
          </w:p>
        </w:tc>
        <w:tc>
          <w:tcPr>
            <w:tcW w:type="dxa" w:w="1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US</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applicable</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à partir de 50 000 $/an, médiane ≈47 000 $/an (Vendr)</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b/>
                <w:bCs/>
                <w:color w:val="9B1C1C"/>
                <w:sz w:val="16"/>
                <w:szCs w:val="16"/>
              </w:rPr>
              <w:t xml:space="preserve">Écarté</w:t>
            </w:r>
          </w:p>
        </w:tc>
      </w:tr>
      <w:tr>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Hebbia</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Connecteurs data room, e-mail, drive</w:t>
            </w:r>
          </w:p>
        </w:tc>
        <w:tc>
          <w:tcPr>
            <w:tcW w:type="dxa" w:w="1600"/>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(déploiement dédié possible)</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(clients enterprise)</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estimation marché : siège Professionnel ≈10 000 $/an, siège Lite ≈3 000-3 500 $/an</w:t>
            </w:r>
          </w:p>
        </w:tc>
        <w:tc>
          <w:tcPr>
            <w:tcW w:type="dxa" w:w="150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(scénario Ambitieux, 2 sièges)</w:t>
            </w:r>
          </w:p>
        </w:tc>
      </w:tr>
      <w:tr>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Rogo</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communiqué</w:t>
            </w:r>
          </w:p>
        </w:tc>
        <w:tc>
          <w:tcPr>
            <w:tcW w:type="dxa" w:w="1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communiqué</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communiqué</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aucune fourchette publique identifiée</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 à challenger avant Hebbia</w:t>
            </w:r>
          </w:p>
        </w:tc>
      </w:tr>
      <w:tr>
        <w:tc>
          <w:tcPr>
            <w:tcW w:type="dxa" w:w="1500"/>
            <w:tcMar>
              <w:top w:type="dxa" w:w="50"/>
              <w:left w:type="dxa" w:w="80"/>
              <w:bottom w:type="dxa" w:w="50"/>
              <w:right w:type="dxa" w:w="80"/>
            </w:tcMar>
            <w:vAlign w:val="center"/>
          </w:tcPr>
          <w:p>
            <w:pPr>
              <w:spacing w:after="0"/>
            </w:pPr>
            <w:r>
              <w:rPr>
                <w:rFonts w:ascii="Calibri" w:cs="Calibri" w:eastAsia="Calibri" w:hAnsi="Calibri"/>
                <w:sz w:val="16"/>
                <w:szCs w:val="16"/>
              </w:rPr>
              <w:t xml:space="preserve">Claude Enterprise / API</w:t>
            </w:r>
          </w:p>
        </w:tc>
        <w:tc>
          <w:tcPr>
            <w:tcW w:type="dxa" w:w="1550"/>
            <w:tcMar>
              <w:top w:type="dxa" w:w="50"/>
              <w:left w:type="dxa" w:w="80"/>
              <w:bottom w:type="dxa" w:w="50"/>
              <w:right w:type="dxa" w:w="80"/>
            </w:tcMar>
            <w:vAlign w:val="center"/>
          </w:tcPr>
          <w:p>
            <w:pPr>
              <w:spacing w:after="0"/>
            </w:pPr>
            <w:r>
              <w:rPr>
                <w:rFonts w:ascii="Calibri" w:cs="Calibri" w:eastAsia="Calibri" w:hAnsi="Calibri"/>
                <w:sz w:val="16"/>
                <w:szCs w:val="16"/>
              </w:rPr>
              <w:t xml:space="preserve">API ouverte, connecteurs Google/Slack</w:t>
            </w:r>
          </w:p>
        </w:tc>
        <w:tc>
          <w:tcPr>
            <w:tcW w:type="dxa" w:w="1600"/>
            <w:tcMar>
              <w:top w:type="dxa" w:w="50"/>
              <w:left w:type="dxa" w:w="80"/>
              <w:bottom w:type="dxa" w:w="50"/>
              <w:right w:type="dxa" w:w="80"/>
            </w:tcMar>
            <w:vAlign w:val="center"/>
          </w:tcPr>
          <w:p>
            <w:pPr>
              <w:spacing w:after="0"/>
            </w:pPr>
            <w:r>
              <w:rPr>
                <w:rFonts w:ascii="Calibri" w:cs="Calibri" w:eastAsia="Calibri" w:hAnsi="Calibri"/>
                <w:sz w:val="16"/>
                <w:szCs w:val="16"/>
              </w:rPr>
              <w:t xml:space="preserve">UE possible (ZDR)</w:t>
            </w:r>
          </w:p>
        </w:tc>
        <w:tc>
          <w:tcPr>
            <w:tcW w:type="dxa" w:w="165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 ZDR</w:t>
            </w:r>
          </w:p>
        </w:tc>
        <w:tc>
          <w:tcPr>
            <w:tcW w:type="dxa" w:w="2666"/>
            <w:tcMar>
              <w:top w:type="dxa" w:w="50"/>
              <w:left w:type="dxa" w:w="80"/>
              <w:bottom w:type="dxa" w:w="50"/>
              <w:right w:type="dxa" w:w="80"/>
            </w:tcMar>
            <w:vAlign w:val="center"/>
          </w:tcPr>
          <w:p>
            <w:pPr>
              <w:spacing w:after="0"/>
            </w:pPr>
            <w:r>
              <w:rPr>
                <w:rFonts w:ascii="Calibri" w:cs="Calibri" w:eastAsia="Calibri" w:hAnsi="Calibri"/>
                <w:sz w:val="16"/>
                <w:szCs w:val="16"/>
              </w:rPr>
              <w:t xml:space="preserve">20 $/siège/mois (min. 20) ou usage API, voir section 5</w:t>
            </w:r>
          </w:p>
        </w:tc>
        <w:tc>
          <w:tcPr>
            <w:tcW w:type="dxa" w:w="150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w:t>
            </w:r>
          </w:p>
        </w:tc>
      </w:tr>
      <w:tr>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n8n / Make</w:t>
            </w:r>
          </w:p>
        </w:tc>
        <w:tc>
          <w:tcPr>
            <w:tcW w:type="dxa" w:w="15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Centaines de connecteurs (n8n : 400+, Make : 2000+)</w:t>
            </w:r>
          </w:p>
        </w:tc>
        <w:tc>
          <w:tcPr>
            <w:tcW w:type="dxa" w:w="1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 (n8n self-hosted EU ou Make EU)</w:t>
            </w:r>
          </w:p>
        </w:tc>
        <w:tc>
          <w:tcPr>
            <w:tcW w:type="dxa" w:w="16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 applicable</w:t>
            </w:r>
          </w:p>
        </w:tc>
        <w:tc>
          <w:tcPr>
            <w:tcW w:type="dxa" w:w="26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n8n : 24-800 €/mois ; Make : 0-38 $/mois (plans standards)</w:t>
            </w:r>
          </w:p>
        </w:tc>
        <w:tc>
          <w:tcPr>
            <w:tcW w:type="dxa" w:w="1500"/>
            <w:shd w:fill="F2F4F7" w:val="clear"/>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w:t>
            </w:r>
          </w:p>
        </w:tc>
      </w:tr>
    </w:tbl>
    <w:p>
      <w:pPr>
        <w:spacing w:after="100" w:before="60" w:line="276"/>
      </w:pPr>
      <w:r>
        <w:rPr>
          <w:rFonts w:ascii="Calibri" w:cs="Calibri" w:eastAsia="Calibri" w:hAnsi="Calibri"/>
          <w:b/>
          <w:bCs/>
          <w:i/>
          <w:iCs/>
          <w:color w:val="2E5266"/>
          <w:sz w:val="18"/>
          <w:szCs w:val="18"/>
        </w:rPr>
        <w:t xml:space="preserve">Tableau 3 bis — M2, conditions commerciales et verdict (consulté le 26/07/2026)</w:t>
      </w:r>
    </w:p>
    <w:p>
      <w:pPr>
        <w:pStyle w:val="Heading2"/>
        <w:spacing w:after="140" w:before="300"/>
      </w:pPr>
      <w:r>
        <w:rPr>
          <w:rFonts w:ascii="Calibri" w:cs="Calibri" w:eastAsia="Calibri" w:hAnsi="Calibri"/>
          <w:b/>
          <w:bCs/>
          <w:color w:val="1F2937"/>
          <w:sz w:val="25"/>
          <w:szCs w:val="25"/>
        </w:rPr>
        <w:t xml:space="preserve">M3 — Suivi de portefeuille</w:t>
      </w:r>
    </w:p>
    <w:p>
      <w:pPr>
        <w:spacing w:after="160" w:before="0" w:line="276"/>
      </w:pPr>
      <w:r>
        <w:rPr>
          <w:rFonts w:ascii="Calibri" w:cs="Calibri" w:eastAsia="Calibri" w:hAnsi="Calibri"/>
          <w:sz w:val="21"/>
          <w:szCs w:val="21"/>
        </w:rPr>
        <w:t xml:space="preserve">Trois familles d'outils répondent à des besoins différents : l'extraction automatisée des documents de fonds, le dashboarding/BI, et le portfolio monitoring dédié aux private markets — ce dernier étant souvent surdimensionné pour un investisseur qui, comme Juniclair, investit majoritairement en fonds plutôt qu'en direct.</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000"/>
        <w:gridCol w:w="2100"/>
        <w:gridCol w:w="3266"/>
        <w:gridCol w:w="3100"/>
      </w:tblGrid>
      <w:tr>
        <w:trPr>
          <w:tblHeader/>
        </w:trPr>
        <w:tc>
          <w:tcPr>
            <w:tcW w:type="dxa" w:w="20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21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Catégorie</w:t>
            </w:r>
          </w:p>
        </w:tc>
        <w:tc>
          <w:tcPr>
            <w:tcW w:type="dxa" w:w="32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Points forts</w:t>
            </w:r>
          </w:p>
        </w:tc>
        <w:tc>
          <w:tcPr>
            <w:tcW w:type="dxa" w:w="31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Limites</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Canoe Intelligence</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Extraction de documents de fonds</w:t>
            </w:r>
          </w:p>
        </w:tc>
        <w:tc>
          <w:tcPr>
            <w:tcW w:type="dxa" w:w="3266"/>
            <w:tcMar>
              <w:top w:type="dxa" w:w="50"/>
              <w:left w:type="dxa" w:w="80"/>
              <w:bottom w:type="dxa" w:w="50"/>
              <w:right w:type="dxa" w:w="80"/>
            </w:tcMar>
            <w:vAlign w:val="center"/>
          </w:tcPr>
          <w:p>
            <w:pPr>
              <w:spacing w:after="0"/>
            </w:pPr>
            <w:r>
              <w:rPr>
                <w:rFonts w:ascii="Calibri" w:cs="Calibri" w:eastAsia="Calibri" w:hAnsi="Calibri"/>
                <w:sz w:val="16"/>
                <w:szCs w:val="16"/>
              </w:rPr>
              <w:t xml:space="preserve">Spécialiste reconnu des capital calls/NAV/quarterly reports ; 1M+ documents traités par mois, 44 000+ fonds couverts</w:t>
            </w:r>
          </w:p>
        </w:tc>
        <w:tc>
          <w:tcPr>
            <w:tcW w:type="dxa" w:w="3100"/>
            <w:tcMar>
              <w:top w:type="dxa" w:w="50"/>
              <w:left w:type="dxa" w:w="80"/>
              <w:bottom w:type="dxa" w:w="50"/>
              <w:right w:type="dxa" w:w="80"/>
            </w:tcMar>
            <w:vAlign w:val="center"/>
          </w:tcPr>
          <w:p>
            <w:pPr>
              <w:spacing w:after="0"/>
            </w:pPr>
            <w:r>
              <w:rPr>
                <w:rFonts w:ascii="Calibri" w:cs="Calibri" w:eastAsia="Calibri" w:hAnsi="Calibri"/>
                <w:sz w:val="16"/>
                <w:szCs w:val="16"/>
              </w:rPr>
              <w:t xml:space="preserve">Positionné plutôt pour LPs institutionnels de taille moyenne à grande ; tarif non public</w:t>
            </w:r>
          </w:p>
        </w:tc>
      </w:tr>
      <w:tr>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Chronograph</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Portfolio monitoring institutionnel (LP &amp; GP)</w:t>
            </w:r>
          </w:p>
        </w:tc>
        <w:tc>
          <w:tcPr>
            <w:tcW w:type="dxa" w:w="3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Modules LP et GP dédiés, large couverture (175 000+ sociétés PE), utilisé par family offices</w:t>
            </w:r>
          </w:p>
        </w:tc>
        <w:tc>
          <w:tcPr>
            <w:tcW w:type="dxa" w:w="3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Taillé pour de gros volumes institutionnels ; risque de surdimensionnement pour 40-60 lignes</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Allvue Systems</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Suite full-stack PE/VC</w:t>
            </w:r>
          </w:p>
        </w:tc>
        <w:tc>
          <w:tcPr>
            <w:tcW w:type="dxa" w:w="3266"/>
            <w:tcMar>
              <w:top w:type="dxa" w:w="50"/>
              <w:left w:type="dxa" w:w="80"/>
              <w:bottom w:type="dxa" w:w="50"/>
              <w:right w:type="dxa" w:w="80"/>
            </w:tcMar>
            <w:vAlign w:val="center"/>
          </w:tcPr>
          <w:p>
            <w:pPr>
              <w:spacing w:after="0"/>
            </w:pPr>
            <w:r>
              <w:rPr>
                <w:rFonts w:ascii="Calibri" w:cs="Calibri" w:eastAsia="Calibri" w:hAnsi="Calibri"/>
                <w:sz w:val="16"/>
                <w:szCs w:val="16"/>
              </w:rPr>
              <w:t xml:space="preserve">Couvre fund accounting + portfolio monitoring + IR + LP portal en une seule plateforme ; 600+ clients, 4 000 Md$ d'AUA</w:t>
            </w:r>
          </w:p>
        </w:tc>
        <w:tc>
          <w:tcPr>
            <w:tcW w:type="dxa" w:w="3100"/>
            <w:tcMar>
              <w:top w:type="dxa" w:w="50"/>
              <w:left w:type="dxa" w:w="80"/>
              <w:bottom w:type="dxa" w:w="50"/>
              <w:right w:type="dxa" w:w="80"/>
            </w:tcMar>
            <w:vAlign w:val="center"/>
          </w:tcPr>
          <w:p>
            <w:pPr>
              <w:spacing w:after="0"/>
            </w:pPr>
            <w:r>
              <w:rPr>
                <w:rFonts w:ascii="Calibri" w:cs="Calibri" w:eastAsia="Calibri" w:hAnsi="Calibri"/>
                <w:sz w:val="16"/>
                <w:szCs w:val="16"/>
              </w:rPr>
              <w:t xml:space="preserve">Suite bien plus large que le besoin réel de Juniclair, qui ne gère pas de fund administration</w:t>
            </w:r>
          </w:p>
        </w:tc>
      </w:tr>
      <w:tr>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Dynamo Software</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Suite full-stack PE/VC + fund admin</w:t>
            </w:r>
          </w:p>
        </w:tc>
        <w:tc>
          <w:tcPr>
            <w:tcW w:type="dxa" w:w="3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CRM, portfolio monitoring, fund accounting intégrés</w:t>
            </w:r>
          </w:p>
        </w:tc>
        <w:tc>
          <w:tcPr>
            <w:tcW w:type="dxa" w:w="3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Même remarque qu'Allvue : positionnement GP/fund admin plus que LP/family office</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Vestberry</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Portfolio monitoring VC, plus accessible</w:t>
            </w:r>
          </w:p>
        </w:tc>
        <w:tc>
          <w:tcPr>
            <w:tcW w:type="dxa" w:w="3266"/>
            <w:tcMar>
              <w:top w:type="dxa" w:w="50"/>
              <w:left w:type="dxa" w:w="80"/>
              <w:bottom w:type="dxa" w:w="50"/>
              <w:right w:type="dxa" w:w="80"/>
            </w:tcMar>
            <w:vAlign w:val="center"/>
          </w:tcPr>
          <w:p>
            <w:pPr>
              <w:spacing w:after="0"/>
            </w:pPr>
            <w:r>
              <w:rPr>
                <w:rFonts w:ascii="Calibri" w:cs="Calibri" w:eastAsia="Calibri" w:hAnsi="Calibri"/>
                <w:sz w:val="16"/>
                <w:szCs w:val="16"/>
              </w:rPr>
              <w:t xml:space="preserve">Extraction IA de board decks/KPI avec validation humaine ; adapté aux structures VC de taille modeste</w:t>
            </w:r>
          </w:p>
        </w:tc>
        <w:tc>
          <w:tcPr>
            <w:tcW w:type="dxa" w:w="3100"/>
            <w:tcMar>
              <w:top w:type="dxa" w:w="50"/>
              <w:left w:type="dxa" w:w="80"/>
              <w:bottom w:type="dxa" w:w="50"/>
              <w:right w:type="dxa" w:w="80"/>
            </w:tcMar>
            <w:vAlign w:val="center"/>
          </w:tcPr>
          <w:p>
            <w:pPr>
              <w:spacing w:after="0"/>
            </w:pPr>
            <w:r>
              <w:rPr>
                <w:rFonts w:ascii="Calibri" w:cs="Calibri" w:eastAsia="Calibri" w:hAnsi="Calibri"/>
                <w:sz w:val="16"/>
                <w:szCs w:val="16"/>
              </w:rPr>
              <w:t xml:space="preserve">Pricing sur devis, moins éprouvé sur le segment fonds de fonds/co-investissement</w:t>
            </w:r>
          </w:p>
        </w:tc>
      </w:tr>
      <w:tr>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Airtable + Make/n8n</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Option "Excel/Airtable + automatisation"</w:t>
            </w:r>
          </w:p>
        </w:tc>
        <w:tc>
          <w:tcPr>
            <w:tcW w:type="dxa" w:w="3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Coût très maîtrisé, déjà maîtrisé par l'équipe, flexible tant que le volume reste modéré</w:t>
            </w:r>
          </w:p>
        </w:tc>
        <w:tc>
          <w:tcPr>
            <w:tcW w:type="dxa" w:w="3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Plafonne en robustesse au-delà d'environ 60-80 fonds suivis ; pas de moteur IRR/waterfall natif</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Power BI</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Dashboarding / BI</w:t>
            </w:r>
          </w:p>
        </w:tc>
        <w:tc>
          <w:tcPr>
            <w:tcW w:type="dxa" w:w="3266"/>
            <w:tcMar>
              <w:top w:type="dxa" w:w="50"/>
              <w:left w:type="dxa" w:w="80"/>
              <w:bottom w:type="dxa" w:w="50"/>
              <w:right w:type="dxa" w:w="80"/>
            </w:tcMar>
            <w:vAlign w:val="center"/>
          </w:tcPr>
          <w:p>
            <w:pPr>
              <w:spacing w:after="0"/>
            </w:pPr>
            <w:r>
              <w:rPr>
                <w:rFonts w:ascii="Calibri" w:cs="Calibri" w:eastAsia="Calibri" w:hAnsi="Calibri"/>
                <w:sz w:val="16"/>
                <w:szCs w:val="16"/>
              </w:rPr>
              <w:t xml:space="preserve">Peu coûteux, surtout si déjà sous licence M365 E5 ; se combine à n'importe quelle source ci-dessus</w:t>
            </w:r>
          </w:p>
        </w:tc>
        <w:tc>
          <w:tcPr>
            <w:tcW w:type="dxa" w:w="3100"/>
            <w:tcMar>
              <w:top w:type="dxa" w:w="50"/>
              <w:left w:type="dxa" w:w="80"/>
              <w:bottom w:type="dxa" w:w="50"/>
              <w:right w:type="dxa" w:w="80"/>
            </w:tcMar>
            <w:vAlign w:val="center"/>
          </w:tcPr>
          <w:p>
            <w:pPr>
              <w:spacing w:after="0"/>
            </w:pPr>
            <w:r>
              <w:rPr>
                <w:rFonts w:ascii="Calibri" w:cs="Calibri" w:eastAsia="Calibri" w:hAnsi="Calibri"/>
                <w:sz w:val="16"/>
                <w:szCs w:val="16"/>
              </w:rPr>
              <w:t xml:space="preserve">Ne fait ni extraction ni collecte : uniquement la couche de restitution</w:t>
            </w:r>
          </w:p>
        </w:tc>
      </w:tr>
    </w:tbl>
    <w:p>
      <w:pPr>
        <w:spacing w:after="100" w:before="60" w:line="276"/>
      </w:pPr>
      <w:r>
        <w:rPr>
          <w:rFonts w:ascii="Calibri" w:cs="Calibri" w:eastAsia="Calibri" w:hAnsi="Calibri"/>
          <w:b/>
          <w:bCs/>
          <w:i/>
          <w:iCs/>
          <w:color w:val="2E5266"/>
          <w:sz w:val="18"/>
          <w:szCs w:val="18"/>
        </w:rPr>
        <w:t xml:space="preserve">Tableau 4 — M3, positionnement et limites</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1750"/>
        <w:gridCol w:w="2050"/>
        <w:gridCol w:w="2100"/>
        <w:gridCol w:w="3116"/>
        <w:gridCol w:w="1450"/>
      </w:tblGrid>
      <w:tr>
        <w:trPr>
          <w:tblHeader/>
        </w:trPr>
        <w:tc>
          <w:tcPr>
            <w:tcW w:type="dxa" w:w="17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Éditeur / solution</w:t>
            </w:r>
          </w:p>
        </w:tc>
        <w:tc>
          <w:tcPr>
            <w:tcW w:type="dxa" w:w="20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Hébergement / résidence</w:t>
            </w:r>
          </w:p>
        </w:tc>
        <w:tc>
          <w:tcPr>
            <w:tcW w:type="dxa" w:w="21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Clause d'entraînement</w:t>
            </w:r>
          </w:p>
        </w:tc>
        <w:tc>
          <w:tcPr>
            <w:tcW w:type="dxa" w:w="311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Tarif public</w:t>
            </w:r>
          </w:p>
        </w:tc>
        <w:tc>
          <w:tcPr>
            <w:tcW w:type="dxa" w:w="145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Verdict</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Canoe Intelligence</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US, options UE pour clients européens</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(clients enterprise)</w:t>
            </w:r>
          </w:p>
        </w:tc>
        <w:tc>
          <w:tcPr>
            <w:tcW w:type="dxa" w:w="311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estimation marché [estimation] 20 000 à 35 000 €/an pour un déploiement à l'échelle d'un family office</w:t>
            </w:r>
          </w:p>
        </w:tc>
        <w:tc>
          <w:tcPr>
            <w:tcW w:type="dxa" w:w="145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(scénario Ambitieux/Hybride)</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Chronograph</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US, options UE</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31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non communiqué, positionnement institutionnel suggère un budget &gt; 30 000 €/an</w:t>
            </w:r>
          </w:p>
        </w:tc>
        <w:tc>
          <w:tcPr>
            <w:tcW w:type="dxa" w:w="1450"/>
            <w:shd w:fill="F2F4F7" w:val="clear"/>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 (risque de surdimensionnement)</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Allvue Systems</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311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non communiqué</w:t>
            </w:r>
          </w:p>
        </w:tc>
        <w:tc>
          <w:tcPr>
            <w:tcW w:type="dxa" w:w="1450"/>
            <w:tcMar>
              <w:top w:type="dxa" w:w="50"/>
              <w:left w:type="dxa" w:w="80"/>
              <w:bottom w:type="dxa" w:w="50"/>
              <w:right w:type="dxa" w:w="80"/>
            </w:tcMar>
            <w:vAlign w:val="center"/>
          </w:tcPr>
          <w:p>
            <w:pPr>
              <w:spacing w:after="0"/>
            </w:pPr>
            <w:r>
              <w:rPr>
                <w:rFonts w:ascii="Calibri" w:cs="Calibri" w:eastAsia="Calibri" w:hAnsi="Calibri"/>
                <w:b/>
                <w:bCs/>
                <w:color w:val="9B1C1C"/>
                <w:sz w:val="16"/>
                <w:szCs w:val="16"/>
              </w:rPr>
              <w:t xml:space="preserve">Écarté (suite trop large)</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Dynamo Software</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31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non communiqué</w:t>
            </w:r>
          </w:p>
        </w:tc>
        <w:tc>
          <w:tcPr>
            <w:tcW w:type="dxa" w:w="1450"/>
            <w:shd w:fill="F2F4F7" w:val="clear"/>
            <w:tcMar>
              <w:top w:type="dxa" w:w="50"/>
              <w:left w:type="dxa" w:w="80"/>
              <w:bottom w:type="dxa" w:w="50"/>
              <w:right w:type="dxa" w:w="80"/>
            </w:tcMar>
            <w:vAlign w:val="center"/>
          </w:tcPr>
          <w:p>
            <w:pPr>
              <w:spacing w:after="0"/>
            </w:pPr>
            <w:r>
              <w:rPr>
                <w:rFonts w:ascii="Calibri" w:cs="Calibri" w:eastAsia="Calibri" w:hAnsi="Calibri"/>
                <w:b/>
                <w:bCs/>
                <w:color w:val="9B1C1C"/>
                <w:sz w:val="16"/>
                <w:szCs w:val="16"/>
              </w:rPr>
              <w:t xml:space="preserve">Écarté (suite trop large)</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Vestberry</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3116"/>
            <w:tcMar>
              <w:top w:type="dxa" w:w="50"/>
              <w:left w:type="dxa" w:w="80"/>
              <w:bottom w:type="dxa" w:w="50"/>
              <w:right w:type="dxa" w:w="80"/>
            </w:tcMar>
            <w:vAlign w:val="center"/>
          </w:tcPr>
          <w:p>
            <w:pPr>
              <w:spacing w:after="0"/>
            </w:pPr>
            <w:r>
              <w:rPr>
                <w:rFonts w:ascii="Calibri" w:cs="Calibri" w:eastAsia="Calibri" w:hAnsi="Calibri"/>
                <w:sz w:val="16"/>
                <w:szCs w:val="16"/>
              </w:rPr>
              <w:t xml:space="preserve">Sur devis — estimation marché [estimation] 15 000 à 30 000 €/an</w:t>
            </w:r>
          </w:p>
        </w:tc>
        <w:tc>
          <w:tcPr>
            <w:tcW w:type="dxa" w:w="1450"/>
            <w:tcMar>
              <w:top w:type="dxa" w:w="50"/>
              <w:left w:type="dxa" w:w="80"/>
              <w:bottom w:type="dxa" w:w="50"/>
              <w:right w:type="dxa" w:w="80"/>
            </w:tcMar>
            <w:vAlign w:val="center"/>
          </w:tcPr>
          <w:p>
            <w:pPr>
              <w:spacing w:after="0"/>
            </w:pPr>
            <w:r>
              <w:rPr>
                <w:rFonts w:ascii="Calibri" w:cs="Calibri" w:eastAsia="Calibri" w:hAnsi="Calibri"/>
                <w:b/>
                <w:bCs/>
                <w:color w:val="8A6D00"/>
                <w:sz w:val="16"/>
                <w:szCs w:val="16"/>
              </w:rPr>
              <w:t xml:space="preserve">Alternative (à challenger face à Canoe)</w:t>
            </w:r>
          </w:p>
        </w:tc>
      </w:tr>
      <w:tr>
        <w:tc>
          <w:tcPr>
            <w:tcW w:type="dxa" w:w="17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Airtable + Make/n8n</w:t>
            </w:r>
          </w:p>
        </w:tc>
        <w:tc>
          <w:tcPr>
            <w:tcW w:type="dxa" w:w="205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 (Airtable EU, n8n self-hosted EU)</w:t>
            </w:r>
          </w:p>
        </w:tc>
        <w:tc>
          <w:tcPr>
            <w:tcW w:type="dxa" w:w="21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 (Airtable payant) ; sans objet pour n8n self-hosted</w:t>
            </w:r>
          </w:p>
        </w:tc>
        <w:tc>
          <w:tcPr>
            <w:tcW w:type="dxa" w:w="311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Airtable Business : 45 $/siège/mois annuel ; Make/n8n : voir tableau 3 bis</w:t>
            </w:r>
          </w:p>
        </w:tc>
        <w:tc>
          <w:tcPr>
            <w:tcW w:type="dxa" w:w="1450"/>
            <w:shd w:fill="F2F4F7" w:val="clear"/>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 (scénario Frugal/Intermédiaire)</w:t>
            </w:r>
          </w:p>
        </w:tc>
      </w:tr>
      <w:tr>
        <w:tc>
          <w:tcPr>
            <w:tcW w:type="dxa" w:w="1750"/>
            <w:tcMar>
              <w:top w:type="dxa" w:w="50"/>
              <w:left w:type="dxa" w:w="80"/>
              <w:bottom w:type="dxa" w:w="50"/>
              <w:right w:type="dxa" w:w="80"/>
            </w:tcMar>
            <w:vAlign w:val="center"/>
          </w:tcPr>
          <w:p>
            <w:pPr>
              <w:spacing w:after="0"/>
            </w:pPr>
            <w:r>
              <w:rPr>
                <w:rFonts w:ascii="Calibri" w:cs="Calibri" w:eastAsia="Calibri" w:hAnsi="Calibri"/>
                <w:sz w:val="16"/>
                <w:szCs w:val="16"/>
              </w:rPr>
              <w:t xml:space="preserve">Power BI</w:t>
            </w:r>
          </w:p>
        </w:tc>
        <w:tc>
          <w:tcPr>
            <w:tcW w:type="dxa" w:w="2050"/>
            <w:tcMar>
              <w:top w:type="dxa" w:w="50"/>
              <w:left w:type="dxa" w:w="80"/>
              <w:bottom w:type="dxa" w:w="50"/>
              <w:right w:type="dxa" w:w="80"/>
            </w:tcMar>
            <w:vAlign w:val="center"/>
          </w:tcPr>
          <w:p>
            <w:pPr>
              <w:spacing w:after="0"/>
            </w:pPr>
            <w:r>
              <w:rPr>
                <w:rFonts w:ascii="Calibri" w:cs="Calibri" w:eastAsia="Calibri" w:hAnsi="Calibri"/>
                <w:sz w:val="16"/>
                <w:szCs w:val="16"/>
              </w:rPr>
              <w:t xml:space="preserve">UE disponible</w:t>
            </w:r>
          </w:p>
        </w:tc>
        <w:tc>
          <w:tcPr>
            <w:tcW w:type="dxa" w:w="2100"/>
            <w:tcMar>
              <w:top w:type="dxa" w:w="50"/>
              <w:left w:type="dxa" w:w="80"/>
              <w:bottom w:type="dxa" w:w="50"/>
              <w:right w:type="dxa" w:w="80"/>
            </w:tcMar>
            <w:vAlign w:val="center"/>
          </w:tcPr>
          <w:p>
            <w:pPr>
              <w:spacing w:after="0"/>
            </w:pPr>
            <w:r>
              <w:rPr>
                <w:rFonts w:ascii="Calibri" w:cs="Calibri" w:eastAsia="Calibri" w:hAnsi="Calibri"/>
                <w:sz w:val="16"/>
                <w:szCs w:val="16"/>
              </w:rPr>
              <w:t xml:space="preserve">Non-entraînement contractuel</w:t>
            </w:r>
          </w:p>
        </w:tc>
        <w:tc>
          <w:tcPr>
            <w:tcW w:type="dxa" w:w="3116"/>
            <w:tcMar>
              <w:top w:type="dxa" w:w="50"/>
              <w:left w:type="dxa" w:w="80"/>
              <w:bottom w:type="dxa" w:w="50"/>
              <w:right w:type="dxa" w:w="80"/>
            </w:tcMar>
            <w:vAlign w:val="center"/>
          </w:tcPr>
          <w:p>
            <w:pPr>
              <w:spacing w:after="0"/>
            </w:pPr>
            <w:r>
              <w:rPr>
                <w:rFonts w:ascii="Calibri" w:cs="Calibri" w:eastAsia="Calibri" w:hAnsi="Calibri"/>
                <w:sz w:val="16"/>
                <w:szCs w:val="16"/>
              </w:rPr>
              <w:t xml:space="preserve">Pro : 14 $/utilisateur/mois annuel ; Premium par utilisateur : 24 $/utilisateur/mois annuel ; inclus si M365/O365 E5</w:t>
            </w:r>
          </w:p>
        </w:tc>
        <w:tc>
          <w:tcPr>
            <w:tcW w:type="dxa" w:w="1450"/>
            <w:tcMar>
              <w:top w:type="dxa" w:w="50"/>
              <w:left w:type="dxa" w:w="80"/>
              <w:bottom w:type="dxa" w:w="50"/>
              <w:right w:type="dxa" w:w="80"/>
            </w:tcMar>
            <w:vAlign w:val="center"/>
          </w:tcPr>
          <w:p>
            <w:pPr>
              <w:spacing w:after="0"/>
            </w:pPr>
            <w:r>
              <w:rPr>
                <w:rFonts w:ascii="Calibri" w:cs="Calibri" w:eastAsia="Calibri" w:hAnsi="Calibri"/>
                <w:b/>
                <w:bCs/>
                <w:color w:val="1B6B3C"/>
                <w:sz w:val="16"/>
                <w:szCs w:val="16"/>
              </w:rPr>
              <w:t xml:space="preserve">Retenu</w:t>
            </w:r>
          </w:p>
        </w:tc>
      </w:tr>
    </w:tbl>
    <w:p>
      <w:pPr>
        <w:spacing w:after="100" w:before="60" w:line="276"/>
      </w:pPr>
      <w:r>
        <w:rPr>
          <w:rFonts w:ascii="Calibri" w:cs="Calibri" w:eastAsia="Calibri" w:hAnsi="Calibri"/>
          <w:b/>
          <w:bCs/>
          <w:i/>
          <w:iCs/>
          <w:color w:val="2E5266"/>
          <w:sz w:val="18"/>
          <w:szCs w:val="18"/>
        </w:rPr>
        <w:t xml:space="preserve">Tableau 4 bis — M3, conditions commerciales et verdict (consulté le 26/07/2026)</w:t>
      </w:r>
    </w:p>
    <w:p>
      <w:r>
        <w:br w:type="page"/>
      </w:r>
    </w:p>
    <w:p>
      <w:pPr>
        <w:pStyle w:val="Heading1"/>
        <w:spacing w:after="200" w:before="420"/>
      </w:pPr>
      <w:r>
        <w:rPr>
          <w:rFonts w:ascii="Calibri" w:cs="Calibri" w:eastAsia="Calibri" w:hAnsi="Calibri"/>
          <w:b/>
          <w:bCs/>
          <w:color w:val="2E5266"/>
          <w:sz w:val="30"/>
          <w:szCs w:val="30"/>
        </w:rPr>
        <w:t xml:space="preserve">5. Modèle de coûts</w:t>
      </w:r>
    </w:p>
    <w:p>
      <w:pPr>
        <w:spacing w:after="200" w:before="0" w:line="276"/>
      </w:pPr>
      <w:r>
        <w:rPr>
          <w:rFonts w:ascii="Calibri" w:cs="Calibri" w:eastAsia="Calibri" w:hAnsi="Calibri"/>
          <w:b/>
          <w:bCs/>
          <w:sz w:val="21"/>
          <w:szCs w:val="21"/>
        </w:rPr>
        <w:t xml:space="preserve">La consommation brute d'API LLM est le poste le moins cher des trois scénarios (moins de 300 €/an en Intermédiaire) : le budget est piloté par les licences, les abonnements de données de marché et la mise en œuvre, pas par le modèle d'IA lui-même.</w:t>
      </w:r>
    </w:p>
    <w:p>
      <w:pPr>
        <w:spacing w:after="160" w:before="0" w:line="276"/>
      </w:pPr>
      <w:r>
        <w:rPr>
          <w:rFonts w:ascii="Calibri" w:cs="Calibri" w:eastAsia="Calibri" w:hAnsi="Calibri"/>
          <w:sz w:val="21"/>
          <w:szCs w:val="21"/>
        </w:rPr>
        <w:t xml:space="preserve">Trois scénarios budgétés sont chiffrés ci-dessous pour une équipe de 6 utilisateurs (H1). Tous les montants sont HT ; les tarifs sourcés en dollars sont convertis à 0,92 €/$ (H12). Les montants marqués [estimation] portent sur des tarifs non publics, faute de grille tarifaire éditeur ; ils sont établis à partir des fourchettes de marché citées en section 4.</w:t>
      </w:r>
    </w:p>
    <w:p>
      <w:pPr>
        <w:pStyle w:val="Heading2"/>
        <w:spacing w:after="140" w:before="300"/>
      </w:pPr>
      <w:r>
        <w:rPr>
          <w:rFonts w:ascii="Calibri" w:cs="Calibri" w:eastAsia="Calibri" w:hAnsi="Calibri"/>
          <w:b/>
          <w:bCs/>
          <w:color w:val="1F2937"/>
          <w:sz w:val="25"/>
          <w:szCs w:val="25"/>
        </w:rPr>
        <w:t xml:space="preserve">5.1 Scénario Frugal — stack existante + no-code léger</w:t>
      </w:r>
    </w:p>
    <w:p>
      <w:pPr>
        <w:spacing w:after="160" w:before="0" w:line="276"/>
      </w:pPr>
      <w:r>
        <w:rPr>
          <w:rFonts w:ascii="Calibri" w:cs="Calibri" w:eastAsia="Calibri" w:hAnsi="Calibri"/>
          <w:sz w:val="21"/>
          <w:szCs w:val="21"/>
        </w:rPr>
        <w:t xml:space="preserve">Architecture : M1 sur la suite collaborative existante (usage natif, sans add-on IA payant au-delà de l'inclus) complété par Notion Business pour la recherche documentaire ; M2 limité à Perplexity Enterprise Pro pour 3 analystes ; M3 en Airtable + Make, sans extraction automatisée dédiée (saisie assistée).</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400"/>
        <w:gridCol w:w="6266"/>
        <w:gridCol w:w="1800"/>
      </w:tblGrid>
      <w:tr>
        <w:trPr>
          <w:tblHeader/>
        </w:trPr>
        <w:tc>
          <w:tcPr>
            <w:tcW w:type="dxa" w:w="2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Poste</w:t>
            </w:r>
          </w:p>
        </w:tc>
        <w:tc>
          <w:tcPr>
            <w:tcW w:type="dxa" w:w="62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Détail du calcul</w:t>
            </w:r>
          </w:p>
        </w:tc>
        <w:tc>
          <w:tcPr>
            <w:tcW w:type="dxa" w:w="1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Montant annuel</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Licences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Notion Business 20 $/utilisateur/mois (≈18,4 €) × 6 = 110,4 €/mois ; Perplexity Enterprise Pro 40 $/utilisateur/mois (≈36,8 €) × 3 = 110,4 €/mois ; Airtable Team 20 $/siège/mois (≈18,4 €) × 4 sièges éditeurs = 73,6 €/mois ; Make Pro ≈19 €/mois (forfait unique)</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3 900 €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Consommation API LLM</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Incluse dans les abonnements ci-dessus ; aucun appel API direct facturé séparément à ce stade</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0 €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Abonnements data (marché)</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Aucun abonnement dédié (Perplexity utilisé comme substitut économique) — limite de qualité assumée sur M2</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Infrastructure et stockage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Aucune infrastructure dédiée (stockage inclus dans Notion/Airtable)</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0 €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Mise en œuvre (année 1)</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1 stagiaire technique, 4 mois, coût chargé valorisé à 1 200 €/mois (gratification + charges + encadrement)</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4 800 €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Maintenance et évolutions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0,5 jour/mois d'un analyste interne, valorisé 400 €/jour chargé, × 12</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2 400 €</w:t>
            </w:r>
          </w:p>
        </w:tc>
      </w:tr>
    </w:tbl>
    <w:p>
      <w:pPr>
        <w:spacing w:after="100" w:before="60" w:line="276"/>
      </w:pPr>
      <w:r>
        <w:rPr>
          <w:rFonts w:ascii="Calibri" w:cs="Calibri" w:eastAsia="Calibri" w:hAnsi="Calibri"/>
          <w:b/>
          <w:bCs/>
          <w:i/>
          <w:iCs/>
          <w:color w:val="2E5266"/>
          <w:sz w:val="18"/>
          <w:szCs w:val="18"/>
        </w:rPr>
        <w:t xml:space="preserve">Tableau 5 — Scénario Frugal, détail du calcul</w:t>
      </w:r>
    </w:p>
    <w:p>
      <w:pPr>
        <w:spacing w:after="160" w:before="0" w:line="276"/>
      </w:pPr>
      <w:r>
        <w:rPr>
          <w:rFonts w:ascii="Calibri" w:cs="Calibri" w:eastAsia="Calibri" w:hAnsi="Calibri"/>
          <w:b/>
          <w:bCs/>
          <w:sz w:val="21"/>
          <w:szCs w:val="21"/>
        </w:rPr>
        <w:t xml:space="preserve">Total année 1 : 11 300 € HT — soit ≈ 157 €/utilisateur/mois. Total cumulé sur 3 ans (récurrent 6 300 €/an après l'année 1, hors mise en œuvre) : 11 300 + 6 300 + 6 300 = 23 900 € HT.</w:t>
      </w:r>
    </w:p>
    <w:p>
      <w:pPr>
        <w:pStyle w:val="Heading2"/>
        <w:spacing w:after="140" w:before="300"/>
      </w:pPr>
      <w:r>
        <w:rPr>
          <w:rFonts w:ascii="Calibri" w:cs="Calibri" w:eastAsia="Calibri" w:hAnsi="Calibri"/>
          <w:b/>
          <w:bCs/>
          <w:color w:val="1F2937"/>
          <w:sz w:val="25"/>
          <w:szCs w:val="25"/>
        </w:rPr>
        <w:t xml:space="preserve">5.2 Scénario Intermédiaire — hybride, quick wins + automatisation encadrée</w:t>
      </w:r>
    </w:p>
    <w:p>
      <w:pPr>
        <w:spacing w:after="160" w:before="0" w:line="276"/>
      </w:pPr>
      <w:r>
        <w:rPr>
          <w:rFonts w:ascii="Calibri" w:cs="Calibri" w:eastAsia="Calibri" w:hAnsi="Calibri"/>
          <w:sz w:val="21"/>
          <w:szCs w:val="21"/>
        </w:rPr>
        <w:t xml:space="preserve">Architecture : M1 sur Copilot ou Gemini natif (selon stack, H5) ; M2 avec Crunchbase Pro (sourcing), achats ponctuels de données PitchBook/Preqin à la demande, Claude Pro pour l'analyse, n8n pour l'orchestration ; M3 en Airtable Business + Power BI, pipeline d'extraction assisté par API LLM plutôt que par un outil dédié.</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400"/>
        <w:gridCol w:w="6266"/>
        <w:gridCol w:w="1800"/>
      </w:tblGrid>
      <w:tr>
        <w:trPr>
          <w:tblHeader/>
        </w:trPr>
        <w:tc>
          <w:tcPr>
            <w:tcW w:type="dxa" w:w="2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Poste</w:t>
            </w:r>
          </w:p>
        </w:tc>
        <w:tc>
          <w:tcPr>
            <w:tcW w:type="dxa" w:w="62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Détail du calcul</w:t>
            </w:r>
          </w:p>
        </w:tc>
        <w:tc>
          <w:tcPr>
            <w:tcW w:type="dxa" w:w="1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Montant annuel</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Licences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M365 Copilot 30 $/utilisateur/mois (≈27,6 €) × 6 = 165,6 €/mois ; Perplexity Ent. Pro 36,8 € × 6 = 220,8 €/mois ; Claude Pro 20 $ (≈18,4 €) × 6 = 110,4 €/mois ; Crunchbase Pro 45 € × 2 = 90 €/mois ; Airtable Business 45 $ (≈41,4 €) × 5 sièges = 207 €/mois ; Power BI Pro 14 $ (≈12,9 €) × 6 = 77,4 €/mois ; n8n Pro 60 €/mois</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14 200 €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Consommation API LLM</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M1 : 440 requêtes/mois × 3 000 tokens entrée + 500 sortie ; M2 : 40 analyses/mois × 60 000 entrée + 3 000 sortie ; M3 : 134 extractions/mois × 15 000 entrée + 1 500 sortie — tarif Claude Sonnet 3 $/15 $ par million de tokens ⇒ ≈25 $/mois (≈23 €), soit</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280 €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Abonnements data (marché)</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Achats ponctuels de rapports/extractions PitchBook ou Preqin à la demande, ≈4 rapports/an</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3 000 €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Infrastructure et stockage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Stockage et sauvegardes additionnels (hors Microsoft/Google), ≈50 €/mois</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600 €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Mise en œuvre (année 1)</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1 stagiaire technique 6 mois à 1 200 €/mois = 7 200 € ; prestataire externe 15 jours-homme × 900 €/jour = 13 500 € (paramétrage Copilot/Gemini, connecteurs Airtable/Power BI, scénarios n8n)</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20 700 €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Maintenance et évolutions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1 jour/mois analyste interne (400 €/jour) × 12 = 4 800 € ; support prestataire ponctuel 5 jours/an × 800 €/jour = 4 000 €</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8 800 €</w:t>
            </w:r>
          </w:p>
        </w:tc>
      </w:tr>
    </w:tbl>
    <w:p>
      <w:pPr>
        <w:spacing w:after="100" w:before="60" w:line="276"/>
      </w:pPr>
      <w:r>
        <w:rPr>
          <w:rFonts w:ascii="Calibri" w:cs="Calibri" w:eastAsia="Calibri" w:hAnsi="Calibri"/>
          <w:b/>
          <w:bCs/>
          <w:i/>
          <w:iCs/>
          <w:color w:val="2E5266"/>
          <w:sz w:val="18"/>
          <w:szCs w:val="18"/>
        </w:rPr>
        <w:t xml:space="preserve">Tableau 6 — Scénario Intermédiaire, détail du calcul</w:t>
      </w:r>
    </w:p>
    <w:p>
      <w:pPr>
        <w:spacing w:after="160" w:before="0" w:line="276"/>
      </w:pPr>
      <w:r>
        <w:rPr>
          <w:rFonts w:ascii="Calibri" w:cs="Calibri" w:eastAsia="Calibri" w:hAnsi="Calibri"/>
          <w:b/>
          <w:bCs/>
          <w:sz w:val="21"/>
          <w:szCs w:val="21"/>
        </w:rPr>
        <w:t xml:space="preserve">Total année 1 : 43 100 € HT (arrondi) — soit ≈ 599 €/utilisateur/mois. Total cumulé sur 3 ans (récurrent ≈ 23 900 €/an après l'année 1) : 43 100 + 23 900 + 23 900 ≈ 90 900 € HT, soit ≈ 421 €/utilisateur/mois en moyenne sur 3 ans.</w:t>
      </w:r>
    </w:p>
    <w:p>
      <w:pPr>
        <w:pStyle w:val="Heading2"/>
        <w:spacing w:after="140" w:before="300"/>
      </w:pPr>
      <w:r>
        <w:rPr>
          <w:rFonts w:ascii="Calibri" w:cs="Calibri" w:eastAsia="Calibri" w:hAnsi="Calibri"/>
          <w:b/>
          <w:bCs/>
          <w:color w:val="1F2937"/>
          <w:sz w:val="25"/>
          <w:szCs w:val="25"/>
        </w:rPr>
        <w:t xml:space="preserve">5.3 Scénario Ambitieux — RAG propriétaire + portfolio monitoring dédié</w:t>
      </w:r>
    </w:p>
    <w:p>
      <w:pPr>
        <w:spacing w:after="160" w:before="0" w:line="276"/>
      </w:pPr>
      <w:r>
        <w:rPr>
          <w:rFonts w:ascii="Calibri" w:cs="Calibri" w:eastAsia="Calibri" w:hAnsi="Calibri"/>
          <w:sz w:val="21"/>
          <w:szCs w:val="21"/>
        </w:rPr>
        <w:t xml:space="preserve">Architecture : M1 basé sur un RAG propriétaire (orchestration open-source, base vectorielle Supabase/pgvector, API Claude/GPT) ; M2 avec abonnement PitchBook complet + Hebbia (2 sièges Professionnel) ; M3 avec Canoe Intelligence [estimation] pour l'extraction et Vestberry/Chronograph [estimation] pour le monitoring, restitution en Power BI.</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400"/>
        <w:gridCol w:w="6266"/>
        <w:gridCol w:w="1800"/>
      </w:tblGrid>
      <w:tr>
        <w:trPr>
          <w:tblHeader/>
        </w:trPr>
        <w:tc>
          <w:tcPr>
            <w:tcW w:type="dxa" w:w="2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Poste</w:t>
            </w:r>
          </w:p>
        </w:tc>
        <w:tc>
          <w:tcPr>
            <w:tcW w:type="dxa" w:w="62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Détail du calcul</w:t>
            </w:r>
          </w:p>
        </w:tc>
        <w:tc>
          <w:tcPr>
            <w:tcW w:type="dxa" w:w="1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Montant annuel</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Licences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Perplexity Ent. Pro 36,8 € × 6 = 2 664 € ; Claude Pro 18,4 € × 6 = 1 325 € ; Power BI Pro 12,9 € × 6 = 929 € ; Cursor Standard 32 $ (≈29,4 €) × 2 sièges techniques = 707 € ; Hebbia Professionnel ≈9 200 € (10 000 $) × 2 sièges = 18 400 € ; Canoe [estimation] 27 000 € ; Vestberry/Chronograph [estimation] 20 000 €</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71 000 €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Consommation API LLM</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Volumes ×4 vs Intermédiaire (RAG propriétaire complet, agents de vérification) : ≈100 $/mois (≈93 €), soit</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1 200 €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Abonnements data (marché)</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PitchBook, plan standard 3 utilisateurs ≈25 000 $/an (≈23 000 €)</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23 000 €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Infrastructure et stockage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Supabase Team 599 $/mois (≈551 €) × 12 = 6 613 € ; n8n Business 800 €/mois × 12 = 9 600 €</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16 213 €</w:t>
            </w:r>
          </w:p>
        </w:tc>
      </w:tr>
      <w:tr>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Mise en œuvre (année 1)</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Développement du RAG propriétaire par prestataire externe : 50 jours-homme × 900 €/jour = 45 000 € ; stagiaire technique 6 mois = 7 200 € ; intégration M3 (connecteurs Canoe/Vestberry, dashboard) 10 jours × 800 €/jour = 8 000 €</w:t>
            </w:r>
          </w:p>
        </w:tc>
        <w:tc>
          <w:tcPr>
            <w:tcW w:type="dxa" w:w="1800"/>
            <w:tcMar>
              <w:top w:type="dxa" w:w="50"/>
              <w:left w:type="dxa" w:w="80"/>
              <w:bottom w:type="dxa" w:w="50"/>
              <w:right w:type="dxa" w:w="80"/>
            </w:tcMar>
            <w:vAlign w:val="center"/>
          </w:tcPr>
          <w:p>
            <w:pPr>
              <w:spacing w:after="0"/>
            </w:pPr>
            <w:r>
              <w:rPr>
                <w:rFonts w:ascii="Calibri" w:cs="Calibri" w:eastAsia="Calibri" w:hAnsi="Calibri"/>
                <w:sz w:val="16"/>
                <w:szCs w:val="16"/>
              </w:rPr>
              <w:t xml:space="preserve">60 200 €</w:t>
            </w:r>
          </w:p>
        </w:tc>
      </w:tr>
      <w:tr>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Maintenance et évolutions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Retainer technique 3 jours/mois × 900 €/jour × 12 = 32 400 € ; QA interne 1 jour/mois × 400 €/jour × 12 = 4 800 €</w:t>
            </w:r>
          </w:p>
        </w:tc>
        <w:tc>
          <w:tcPr>
            <w:tcW w:type="dxa" w:w="1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37 200 €</w:t>
            </w:r>
          </w:p>
        </w:tc>
      </w:tr>
    </w:tbl>
    <w:p>
      <w:pPr>
        <w:spacing w:after="100" w:before="60" w:line="276"/>
      </w:pPr>
      <w:r>
        <w:rPr>
          <w:rFonts w:ascii="Calibri" w:cs="Calibri" w:eastAsia="Calibri" w:hAnsi="Calibri"/>
          <w:b/>
          <w:bCs/>
          <w:i/>
          <w:iCs/>
          <w:color w:val="2E5266"/>
          <w:sz w:val="18"/>
          <w:szCs w:val="18"/>
        </w:rPr>
        <w:t xml:space="preserve">Tableau 7 — Scénario Ambitieux, détail du calcul</w:t>
      </w:r>
    </w:p>
    <w:p>
      <w:pPr>
        <w:spacing w:after="160" w:before="0" w:line="276"/>
      </w:pPr>
      <w:r>
        <w:rPr>
          <w:rFonts w:ascii="Calibri" w:cs="Calibri" w:eastAsia="Calibri" w:hAnsi="Calibri"/>
          <w:b/>
          <w:bCs/>
          <w:sz w:val="21"/>
          <w:szCs w:val="21"/>
        </w:rPr>
        <w:t xml:space="preserve">Total année 1 : ≈ 208 800 € HT — soit ≈ 2 900 €/utilisateur/mois. Total cumulé sur 3 ans (récurrent ≈ 148 600 €/an après l'année 1) : 208 800 + 148 600 + 148 600 ≈ 506 000 € HT, soit ≈ 2 343 €/utilisateur/mois en moyenne sur 3 ans.</w:t>
      </w:r>
    </w:p>
    <w:p>
      <w:pPr>
        <w:pStyle w:val="Heading2"/>
        <w:spacing w:after="140" w:before="300"/>
      </w:pPr>
      <w:r>
        <w:rPr>
          <w:rFonts w:ascii="Calibri" w:cs="Calibri" w:eastAsia="Calibri" w:hAnsi="Calibri"/>
          <w:b/>
          <w:bCs/>
          <w:color w:val="1F2937"/>
          <w:sz w:val="25"/>
          <w:szCs w:val="25"/>
        </w:rPr>
        <w:t xml:space="preserve">5.4 Synthèse comparative</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600"/>
        <w:gridCol w:w="2200"/>
        <w:gridCol w:w="2400"/>
        <w:gridCol w:w="1700"/>
        <w:gridCol w:w="1566"/>
      </w:tblGrid>
      <w:tr>
        <w:trPr>
          <w:tblHeader/>
        </w:trPr>
        <w:tc>
          <w:tcPr>
            <w:tcW w:type="dxa" w:w="26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Scénario</w:t>
            </w:r>
          </w:p>
        </w:tc>
        <w:tc>
          <w:tcPr>
            <w:tcW w:type="dxa" w:w="22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Total An 1</w:t>
            </w:r>
          </w:p>
        </w:tc>
        <w:tc>
          <w:tcPr>
            <w:tcW w:type="dxa" w:w="2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Total cumulé An 3</w:t>
            </w:r>
          </w:p>
        </w:tc>
        <w:tc>
          <w:tcPr>
            <w:tcW w:type="dxa" w:w="17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€/utilisateur/mois (An 1)</w:t>
            </w:r>
          </w:p>
        </w:tc>
        <w:tc>
          <w:tcPr>
            <w:tcW w:type="dxa" w:w="15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€/utilisateur/mois (moy. 3 ans)</w:t>
            </w:r>
          </w:p>
        </w:tc>
      </w:tr>
      <w:tr>
        <w:tc>
          <w:tcPr>
            <w:tcW w:type="dxa" w:w="2600"/>
            <w:tcMar>
              <w:top w:type="dxa" w:w="50"/>
              <w:left w:type="dxa" w:w="80"/>
              <w:bottom w:type="dxa" w:w="50"/>
              <w:right w:type="dxa" w:w="80"/>
            </w:tcMar>
            <w:vAlign w:val="center"/>
          </w:tcPr>
          <w:p>
            <w:pPr>
              <w:spacing w:after="0"/>
            </w:pPr>
            <w:r>
              <w:rPr>
                <w:rFonts w:ascii="Calibri" w:cs="Calibri" w:eastAsia="Calibri" w:hAnsi="Calibri"/>
                <w:sz w:val="16"/>
                <w:szCs w:val="16"/>
              </w:rPr>
              <w:t xml:space="preserve">Frugal</w:t>
            </w:r>
          </w:p>
        </w:tc>
        <w:tc>
          <w:tcPr>
            <w:tcW w:type="dxa" w:w="2200"/>
            <w:tcMar>
              <w:top w:type="dxa" w:w="50"/>
              <w:left w:type="dxa" w:w="80"/>
              <w:bottom w:type="dxa" w:w="50"/>
              <w:right w:type="dxa" w:w="80"/>
            </w:tcMar>
            <w:vAlign w:val="center"/>
          </w:tcPr>
          <w:p>
            <w:pPr>
              <w:spacing w:after="0"/>
            </w:pPr>
            <w:r>
              <w:rPr>
                <w:rFonts w:ascii="Calibri" w:cs="Calibri" w:eastAsia="Calibri" w:hAnsi="Calibri"/>
                <w:sz w:val="16"/>
                <w:szCs w:val="16"/>
              </w:rPr>
              <w:t xml:space="preserve">11 300 €</w:t>
            </w:r>
          </w:p>
        </w:tc>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23 900 €</w:t>
            </w:r>
          </w:p>
        </w:tc>
        <w:tc>
          <w:tcPr>
            <w:tcW w:type="dxa" w:w="1700"/>
            <w:tcMar>
              <w:top w:type="dxa" w:w="50"/>
              <w:left w:type="dxa" w:w="80"/>
              <w:bottom w:type="dxa" w:w="50"/>
              <w:right w:type="dxa" w:w="80"/>
            </w:tcMar>
            <w:vAlign w:val="center"/>
          </w:tcPr>
          <w:p>
            <w:pPr>
              <w:spacing w:after="0"/>
            </w:pPr>
            <w:r>
              <w:rPr>
                <w:rFonts w:ascii="Calibri" w:cs="Calibri" w:eastAsia="Calibri" w:hAnsi="Calibri"/>
                <w:sz w:val="16"/>
                <w:szCs w:val="16"/>
              </w:rPr>
              <w:t xml:space="preserve">157 €</w:t>
            </w:r>
          </w:p>
        </w:tc>
        <w:tc>
          <w:tcPr>
            <w:tcW w:type="dxa" w:w="1566"/>
            <w:tcMar>
              <w:top w:type="dxa" w:w="50"/>
              <w:left w:type="dxa" w:w="80"/>
              <w:bottom w:type="dxa" w:w="50"/>
              <w:right w:type="dxa" w:w="80"/>
            </w:tcMar>
            <w:vAlign w:val="center"/>
          </w:tcPr>
          <w:p>
            <w:pPr>
              <w:spacing w:after="0"/>
            </w:pPr>
            <w:r>
              <w:rPr>
                <w:rFonts w:ascii="Calibri" w:cs="Calibri" w:eastAsia="Calibri" w:hAnsi="Calibri"/>
                <w:sz w:val="16"/>
                <w:szCs w:val="16"/>
              </w:rPr>
              <w:t xml:space="preserve">111 €</w:t>
            </w:r>
          </w:p>
        </w:tc>
      </w:tr>
      <w:tr>
        <w:tc>
          <w:tcPr>
            <w:tcW w:type="dxa" w:w="2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Intermédiaire</w:t>
            </w:r>
          </w:p>
        </w:tc>
        <w:tc>
          <w:tcPr>
            <w:tcW w:type="dxa" w:w="22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43 100 €</w:t>
            </w:r>
          </w:p>
        </w:tc>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90 900 €</w:t>
            </w:r>
          </w:p>
        </w:tc>
        <w:tc>
          <w:tcPr>
            <w:tcW w:type="dxa" w:w="17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599 €</w:t>
            </w:r>
          </w:p>
        </w:tc>
        <w:tc>
          <w:tcPr>
            <w:tcW w:type="dxa" w:w="15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421 €</w:t>
            </w:r>
          </w:p>
        </w:tc>
      </w:tr>
      <w:tr>
        <w:tc>
          <w:tcPr>
            <w:tcW w:type="dxa" w:w="2600"/>
            <w:tcMar>
              <w:top w:type="dxa" w:w="50"/>
              <w:left w:type="dxa" w:w="80"/>
              <w:bottom w:type="dxa" w:w="50"/>
              <w:right w:type="dxa" w:w="80"/>
            </w:tcMar>
            <w:vAlign w:val="center"/>
          </w:tcPr>
          <w:p>
            <w:pPr>
              <w:spacing w:after="0"/>
            </w:pPr>
            <w:r>
              <w:rPr>
                <w:rFonts w:ascii="Calibri" w:cs="Calibri" w:eastAsia="Calibri" w:hAnsi="Calibri"/>
                <w:sz w:val="16"/>
                <w:szCs w:val="16"/>
              </w:rPr>
              <w:t xml:space="preserve">Ambitieux</w:t>
            </w:r>
          </w:p>
        </w:tc>
        <w:tc>
          <w:tcPr>
            <w:tcW w:type="dxa" w:w="2200"/>
            <w:tcMar>
              <w:top w:type="dxa" w:w="50"/>
              <w:left w:type="dxa" w:w="80"/>
              <w:bottom w:type="dxa" w:w="50"/>
              <w:right w:type="dxa" w:w="80"/>
            </w:tcMar>
            <w:vAlign w:val="center"/>
          </w:tcPr>
          <w:p>
            <w:pPr>
              <w:spacing w:after="0"/>
            </w:pPr>
            <w:r>
              <w:rPr>
                <w:rFonts w:ascii="Calibri" w:cs="Calibri" w:eastAsia="Calibri" w:hAnsi="Calibri"/>
                <w:sz w:val="16"/>
                <w:szCs w:val="16"/>
              </w:rPr>
              <w:t xml:space="preserve">208 800 €</w:t>
            </w:r>
          </w:p>
        </w:tc>
        <w:tc>
          <w:tcPr>
            <w:tcW w:type="dxa" w:w="2400"/>
            <w:tcMar>
              <w:top w:type="dxa" w:w="50"/>
              <w:left w:type="dxa" w:w="80"/>
              <w:bottom w:type="dxa" w:w="50"/>
              <w:right w:type="dxa" w:w="80"/>
            </w:tcMar>
            <w:vAlign w:val="center"/>
          </w:tcPr>
          <w:p>
            <w:pPr>
              <w:spacing w:after="0"/>
            </w:pPr>
            <w:r>
              <w:rPr>
                <w:rFonts w:ascii="Calibri" w:cs="Calibri" w:eastAsia="Calibri" w:hAnsi="Calibri"/>
                <w:sz w:val="16"/>
                <w:szCs w:val="16"/>
              </w:rPr>
              <w:t xml:space="preserve">506 000 €</w:t>
            </w:r>
          </w:p>
        </w:tc>
        <w:tc>
          <w:tcPr>
            <w:tcW w:type="dxa" w:w="1700"/>
            <w:tcMar>
              <w:top w:type="dxa" w:w="50"/>
              <w:left w:type="dxa" w:w="80"/>
              <w:bottom w:type="dxa" w:w="50"/>
              <w:right w:type="dxa" w:w="80"/>
            </w:tcMar>
            <w:vAlign w:val="center"/>
          </w:tcPr>
          <w:p>
            <w:pPr>
              <w:spacing w:after="0"/>
            </w:pPr>
            <w:r>
              <w:rPr>
                <w:rFonts w:ascii="Calibri" w:cs="Calibri" w:eastAsia="Calibri" w:hAnsi="Calibri"/>
                <w:sz w:val="16"/>
                <w:szCs w:val="16"/>
              </w:rPr>
              <w:t xml:space="preserve">2 900 €</w:t>
            </w:r>
          </w:p>
        </w:tc>
        <w:tc>
          <w:tcPr>
            <w:tcW w:type="dxa" w:w="1566"/>
            <w:tcMar>
              <w:top w:type="dxa" w:w="50"/>
              <w:left w:type="dxa" w:w="80"/>
              <w:bottom w:type="dxa" w:w="50"/>
              <w:right w:type="dxa" w:w="80"/>
            </w:tcMar>
            <w:vAlign w:val="center"/>
          </w:tcPr>
          <w:p>
            <w:pPr>
              <w:spacing w:after="0"/>
            </w:pPr>
            <w:r>
              <w:rPr>
                <w:rFonts w:ascii="Calibri" w:cs="Calibri" w:eastAsia="Calibri" w:hAnsi="Calibri"/>
                <w:sz w:val="16"/>
                <w:szCs w:val="16"/>
              </w:rPr>
              <w:t xml:space="preserve">2 343 €</w:t>
            </w:r>
          </w:p>
        </w:tc>
      </w:tr>
      <w:tr>
        <w:tc>
          <w:tcPr>
            <w:tcW w:type="dxa" w:w="26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Hybride séquencé (recommandé)</w:t>
            </w:r>
          </w:p>
        </w:tc>
        <w:tc>
          <w:tcPr>
            <w:tcW w:type="dxa" w:w="22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57 000 € (Intermédiaire + pilote RAG M1)</w:t>
            </w:r>
          </w:p>
        </w:tc>
        <w:tc>
          <w:tcPr>
            <w:tcW w:type="dxa" w:w="2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300 000 € (bascule progressive vers Ambitieux dès l'An 2)</w:t>
            </w:r>
          </w:p>
        </w:tc>
        <w:tc>
          <w:tcPr>
            <w:tcW w:type="dxa" w:w="17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790 €</w:t>
            </w:r>
          </w:p>
        </w:tc>
        <w:tc>
          <w:tcPr>
            <w:tcW w:type="dxa" w:w="15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 1 390 €</w:t>
            </w:r>
          </w:p>
        </w:tc>
      </w:tr>
    </w:tbl>
    <w:p>
      <w:pPr>
        <w:spacing w:after="100" w:before="60" w:line="276"/>
      </w:pPr>
      <w:r>
        <w:rPr>
          <w:rFonts w:ascii="Calibri" w:cs="Calibri" w:eastAsia="Calibri" w:hAnsi="Calibri"/>
          <w:b/>
          <w:bCs/>
          <w:i/>
          <w:iCs/>
          <w:color w:val="2E5266"/>
          <w:sz w:val="18"/>
          <w:szCs w:val="18"/>
        </w:rPr>
        <w:t xml:space="preserve">Tableau 8 — Synthèse des quatre budgets</w:t>
      </w:r>
    </w:p>
    <w:p>
      <w:pPr>
        <w:spacing w:after="160" w:before="0" w:line="276"/>
      </w:pPr>
      <w:r>
        <w:rPr>
          <w:rFonts w:ascii="Calibri" w:cs="Calibri" w:eastAsia="Calibri" w:hAnsi="Calibri"/>
          <w:sz w:val="20"/>
          <w:szCs w:val="20"/>
        </w:rPr>
        <w:t xml:space="preserve">Lecture : le scénario Hybride séquencé recommandé (section 9) part du socle Intermédiaire (43 100 €) auquel s'ajoute un pilote de RAG propriétaire ciblé sur M1 seul (13 500 € de prestation externe, 15 jours-homme), pour 56 600 € arrondis à 57 000 € en année 1. La bascule vers le cœur propriétaire complet (M2 inclus) est budgétée en année 2 sous réserve de la validation du pilote, ce qui explique la remontée du coût moyen sur 3 ans vers le profil Ambitieux.</w:t>
      </w:r>
    </w:p>
    <w:p>
      <w:r>
        <w:br w:type="page"/>
      </w:r>
    </w:p>
    <w:p>
      <w:pPr>
        <w:pStyle w:val="Heading1"/>
        <w:spacing w:after="200" w:before="420"/>
      </w:pPr>
      <w:r>
        <w:rPr>
          <w:rFonts w:ascii="Calibri" w:cs="Calibri" w:eastAsia="Calibri" w:hAnsi="Calibri"/>
          <w:b/>
          <w:bCs/>
          <w:color w:val="2E5266"/>
          <w:sz w:val="30"/>
          <w:szCs w:val="30"/>
        </w:rPr>
        <w:t xml:space="preserve">6. Confidentialité, sécurité et conformité</w:t>
      </w:r>
    </w:p>
    <w:p>
      <w:pPr>
        <w:spacing w:after="200" w:before="0" w:line="276"/>
      </w:pPr>
      <w:r>
        <w:rPr>
          <w:rFonts w:ascii="Calibri" w:cs="Calibri" w:eastAsia="Calibri" w:hAnsi="Calibri"/>
          <w:b/>
          <w:bCs/>
          <w:sz w:val="21"/>
          <w:szCs w:val="21"/>
        </w:rPr>
        <w:t xml:space="preserve">Les données manipulées par Juniclair sont pour la plupart couvertes par un NDA : aucun outil ne doit être activé sans qu'un DPA signé, une clause de non-entraînement explicite et une résidence UE des données ne soient vérifiés au préalable.</w:t>
      </w:r>
    </w:p>
    <w:p>
      <w:pPr>
        <w:pStyle w:val="Heading2"/>
        <w:spacing w:after="140" w:before="300"/>
      </w:pPr>
      <w:r>
        <w:rPr>
          <w:rFonts w:ascii="Calibri" w:cs="Calibri" w:eastAsia="Calibri" w:hAnsi="Calibri"/>
          <w:b/>
          <w:bCs/>
          <w:color w:val="1F2937"/>
          <w:sz w:val="25"/>
          <w:szCs w:val="25"/>
        </w:rPr>
        <w:t xml:space="preserve">6.1 Principes de traitement</w:t>
      </w:r>
    </w:p>
    <w:p>
      <w:pPr>
        <w:pStyle w:val="ListParagraph"/>
        <w:numPr>
          <w:ilvl w:val="0"/>
          <w:numId w:val="2"/>
        </w:numPr>
        <w:spacing w:after="80"/>
      </w:pPr>
      <w:r>
        <w:rPr>
          <w:rFonts w:ascii="Calibri" w:cs="Calibri" w:eastAsia="Calibri" w:hAnsi="Calibri"/>
          <w:sz w:val="20"/>
          <w:szCs w:val="20"/>
        </w:rPr>
        <w:t xml:space="preserve">RGPD : tout traitement de données personnelles (contacts GPs, dirigeants de participations) nécessite une base légale identifiée et un registre des traitements à jour ; les outils IA retenus doivent figurer au registre des sous-traitants.</w:t>
      </w:r>
    </w:p>
    <w:p>
      <w:pPr>
        <w:pStyle w:val="ListParagraph"/>
        <w:numPr>
          <w:ilvl w:val="0"/>
          <w:numId w:val="2"/>
        </w:numPr>
        <w:spacing w:after="80"/>
      </w:pPr>
      <w:r>
        <w:rPr>
          <w:rFonts w:ascii="Calibri" w:cs="Calibri" w:eastAsia="Calibri" w:hAnsi="Calibri"/>
          <w:sz w:val="20"/>
          <w:szCs w:val="20"/>
        </w:rPr>
        <w:t xml:space="preserve">Résidence des données en UE : à privilégier systématiquement lorsque l'option existe (Azure OpenAI EU Data Zone : Sweden Central, Germany West Central ; Mistral, hébergé à Paris, comme option souveraine complémentaire pour les usages les plus sensibles).</w:t>
      </w:r>
    </w:p>
    <w:p>
      <w:pPr>
        <w:pStyle w:val="ListParagraph"/>
        <w:numPr>
          <w:ilvl w:val="0"/>
          <w:numId w:val="2"/>
        </w:numPr>
        <w:spacing w:after="80"/>
      </w:pPr>
      <w:r>
        <w:rPr>
          <w:rFonts w:ascii="Calibri" w:cs="Calibri" w:eastAsia="Calibri" w:hAnsi="Calibri"/>
          <w:sz w:val="20"/>
          <w:szCs w:val="20"/>
        </w:rPr>
        <w:t xml:space="preserve">Clause de non-entraînement : à exiger par écrit dans le contrat, pas seulement dans la documentation marketing — Anthropic et OpenAI l'incluent par défaut sur leurs offres API et Enterprise, avec option de zero data retention (ZDR) pour les clients éligibles.</w:t>
      </w:r>
    </w:p>
    <w:p>
      <w:pPr>
        <w:pStyle w:val="ListParagraph"/>
        <w:numPr>
          <w:ilvl w:val="0"/>
          <w:numId w:val="2"/>
        </w:numPr>
        <w:spacing w:after="80"/>
      </w:pPr>
      <w:r>
        <w:rPr>
          <w:rFonts w:ascii="Calibri" w:cs="Calibri" w:eastAsia="Calibri" w:hAnsi="Calibri"/>
          <w:sz w:val="20"/>
          <w:szCs w:val="20"/>
        </w:rPr>
        <w:t xml:space="preserve">DPA (Data Processing Agreement) : à signer avec chaque éditeur avant toute mise en production, incluant la liste des sous-traitants ultérieurs (sub-processors).</w:t>
      </w:r>
    </w:p>
    <w:p>
      <w:pPr>
        <w:pStyle w:val="ListParagraph"/>
        <w:numPr>
          <w:ilvl w:val="0"/>
          <w:numId w:val="2"/>
        </w:numPr>
        <w:spacing w:after="80"/>
      </w:pPr>
      <w:r>
        <w:rPr>
          <w:rFonts w:ascii="Calibri" w:cs="Calibri" w:eastAsia="Calibri" w:hAnsi="Calibri"/>
          <w:sz w:val="20"/>
          <w:szCs w:val="20"/>
        </w:rPr>
        <w:t xml:space="preserve">SOC 2 / ISO 27001 : à demander systématiquement comme prérequis de sélection ; Anthropic, OpenAI et Microsoft publient leurs certifications, la plupart des éditeurs de niche (Hebbia, Canoe, Vestberry) les communiquent sur demande contractuelle.</w:t>
      </w:r>
    </w:p>
    <w:p>
      <w:pPr>
        <w:pStyle w:val="ListParagraph"/>
        <w:numPr>
          <w:ilvl w:val="0"/>
          <w:numId w:val="2"/>
        </w:numPr>
        <w:spacing w:after="80"/>
      </w:pPr>
      <w:r>
        <w:rPr>
          <w:rFonts w:ascii="Calibri" w:cs="Calibri" w:eastAsia="Calibri" w:hAnsi="Calibri"/>
          <w:sz w:val="20"/>
          <w:szCs w:val="20"/>
        </w:rPr>
        <w:t xml:space="preserve">Cloisonnement et droits d'accès : appliquer le principe du moindre privilège dès la conception de M1 — un mémo sous NDA strict ne doit être indexé et retrouvable que par les personnes habilitées, ce qui suppose une gestion fine des permissions au niveau document, pas seulement au niveau outil.</w:t>
      </w:r>
    </w:p>
    <w:p>
      <w:pPr>
        <w:pStyle w:val="ListParagraph"/>
        <w:numPr>
          <w:ilvl w:val="0"/>
          <w:numId w:val="2"/>
        </w:numPr>
        <w:spacing w:after="80"/>
      </w:pPr>
      <w:r>
        <w:rPr>
          <w:rFonts w:ascii="Calibri" w:cs="Calibri" w:eastAsia="Calibri" w:hAnsi="Calibri"/>
          <w:sz w:val="20"/>
          <w:szCs w:val="20"/>
        </w:rPr>
        <w:t xml:space="preserve">Politique d'usage interne : formaliser une charte IA courte avant le déploiement de tout outil — liste des outils autorisés, données interdites d'usage dans les outils grand public non gouvernés, procédure de signalement d'anomalie.</w:t>
      </w:r>
    </w:p>
    <w:p>
      <w:pPr>
        <w:pStyle w:val="Heading2"/>
        <w:spacing w:after="140" w:before="300"/>
      </w:pPr>
      <w:r>
        <w:rPr>
          <w:rFonts w:ascii="Calibri" w:cs="Calibri" w:eastAsia="Calibri" w:hAnsi="Calibri"/>
          <w:b/>
          <w:bCs/>
          <w:color w:val="1F2937"/>
          <w:sz w:val="25"/>
          <w:szCs w:val="25"/>
        </w:rPr>
        <w:t xml:space="preserve">6.2 Questions à poser systématiquement aux éditeurs en négociation</w:t>
      </w:r>
    </w:p>
    <w:p>
      <w:pPr>
        <w:pStyle w:val="ListParagraph"/>
        <w:numPr>
          <w:ilvl w:val="0"/>
          <w:numId w:val="2"/>
        </w:numPr>
        <w:spacing w:after="80"/>
      </w:pPr>
      <w:r>
        <w:rPr>
          <w:rFonts w:ascii="Calibri" w:cs="Calibri" w:eastAsia="Calibri" w:hAnsi="Calibri"/>
          <w:sz w:val="20"/>
          <w:szCs w:val="20"/>
        </w:rPr>
        <w:t xml:space="preserve">Mes données (prompts, documents, sorties) sont-elles utilisées, même de façon anonymisée ou agrégée, pour entraîner ou améliorer vos modèles ? Cette clause est-elle contractuelle ou seulement déclarative ?</w:t>
      </w:r>
    </w:p>
    <w:p>
      <w:pPr>
        <w:pStyle w:val="ListParagraph"/>
        <w:numPr>
          <w:ilvl w:val="0"/>
          <w:numId w:val="2"/>
        </w:numPr>
        <w:spacing w:after="80"/>
      </w:pPr>
      <w:r>
        <w:rPr>
          <w:rFonts w:ascii="Calibri" w:cs="Calibri" w:eastAsia="Calibri" w:hAnsi="Calibri"/>
          <w:sz w:val="20"/>
          <w:szCs w:val="20"/>
        </w:rPr>
        <w:t xml:space="preserve">Où sont hébergées mes données (région précise), et un engagement de résidence UE peut-il être contractualisé, pas seulement proposé en option technique ?</w:t>
      </w:r>
    </w:p>
    <w:p>
      <w:pPr>
        <w:pStyle w:val="ListParagraph"/>
        <w:numPr>
          <w:ilvl w:val="0"/>
          <w:numId w:val="2"/>
        </w:numPr>
        <w:spacing w:after="80"/>
      </w:pPr>
      <w:r>
        <w:rPr>
          <w:rFonts w:ascii="Calibri" w:cs="Calibri" w:eastAsia="Calibri" w:hAnsi="Calibri"/>
          <w:sz w:val="20"/>
          <w:szCs w:val="20"/>
        </w:rPr>
        <w:t xml:space="preserve">Quelle est la durée de rétention des prompts et documents, et une option de zero data retention est-elle disponible pour notre volume ?</w:t>
      </w:r>
    </w:p>
    <w:p>
      <w:pPr>
        <w:pStyle w:val="ListParagraph"/>
        <w:numPr>
          <w:ilvl w:val="0"/>
          <w:numId w:val="2"/>
        </w:numPr>
        <w:spacing w:after="80"/>
      </w:pPr>
      <w:r>
        <w:rPr>
          <w:rFonts w:ascii="Calibri" w:cs="Calibri" w:eastAsia="Calibri" w:hAnsi="Calibri"/>
          <w:sz w:val="20"/>
          <w:szCs w:val="20"/>
        </w:rPr>
        <w:t xml:space="preserve">Pouvez-vous fournir votre dernier rapport SOC 2 Type II ou certificat ISO 27001, et la liste de vos sous-traitants ultérieurs (sub-processors) ?</w:t>
      </w:r>
    </w:p>
    <w:p>
      <w:pPr>
        <w:pStyle w:val="ListParagraph"/>
        <w:numPr>
          <w:ilvl w:val="0"/>
          <w:numId w:val="2"/>
        </w:numPr>
        <w:spacing w:after="80"/>
      </w:pPr>
      <w:r>
        <w:rPr>
          <w:rFonts w:ascii="Calibri" w:cs="Calibri" w:eastAsia="Calibri" w:hAnsi="Calibri"/>
          <w:sz w:val="20"/>
          <w:szCs w:val="20"/>
        </w:rPr>
        <w:t xml:space="preserve">Que se passe-t-il en cas de résiliation : sous quel délai et dans quel format récupérons-nous l'intégralité de nos données et de nos configurations (export) ?</w:t>
      </w:r>
    </w:p>
    <w:p>
      <w:pPr>
        <w:pStyle w:val="ListParagraph"/>
        <w:numPr>
          <w:ilvl w:val="0"/>
          <w:numId w:val="2"/>
        </w:numPr>
        <w:spacing w:after="80"/>
      </w:pPr>
      <w:r>
        <w:rPr>
          <w:rFonts w:ascii="Calibri" w:cs="Calibri" w:eastAsia="Calibri" w:hAnsi="Calibri"/>
          <w:sz w:val="20"/>
          <w:szCs w:val="20"/>
        </w:rPr>
        <w:t xml:space="preserve">Quel est le processus de notification en cas d'incident de sécurité affectant nos données, et sous quel délai contractuel ?</w:t>
      </w:r>
    </w:p>
    <w:p>
      <w:pPr>
        <w:pStyle w:val="ListParagraph"/>
        <w:numPr>
          <w:ilvl w:val="0"/>
          <w:numId w:val="2"/>
        </w:numPr>
        <w:spacing w:after="80"/>
      </w:pPr>
      <w:r>
        <w:rPr>
          <w:rFonts w:ascii="Calibri" w:cs="Calibri" w:eastAsia="Calibri" w:hAnsi="Calibri"/>
          <w:sz w:val="20"/>
          <w:szCs w:val="20"/>
        </w:rPr>
        <w:t xml:space="preserve">Le contrat prévoit-il un audit de sécurité à notre initiative, et à quelle fréquence ?</w:t>
      </w:r>
    </w:p>
    <w:p>
      <w:r>
        <w:br w:type="page"/>
      </w:r>
    </w:p>
    <w:p>
      <w:pPr>
        <w:pStyle w:val="Heading1"/>
        <w:spacing w:after="200" w:before="420"/>
      </w:pPr>
      <w:r>
        <w:rPr>
          <w:rFonts w:ascii="Calibri" w:cs="Calibri" w:eastAsia="Calibri" w:hAnsi="Calibri"/>
          <w:b/>
          <w:bCs/>
          <w:color w:val="2E5266"/>
          <w:sz w:val="30"/>
          <w:szCs w:val="30"/>
        </w:rPr>
        <w:t xml:space="preserve">7. Feuille de route 90 jours</w:t>
      </w:r>
    </w:p>
    <w:p>
      <w:pPr>
        <w:spacing w:after="200" w:before="0" w:line="276"/>
      </w:pPr>
      <w:r>
        <w:rPr>
          <w:rFonts w:ascii="Calibri" w:cs="Calibri" w:eastAsia="Calibri" w:hAnsi="Calibri"/>
          <w:b/>
          <w:bCs/>
          <w:sz w:val="21"/>
          <w:szCs w:val="21"/>
        </w:rPr>
        <w:t xml:space="preserve">Les 15 premiers jours doivent produire un résultat visible sans engager de budget significatif ; le passage à l'échelle ne se décide qu'après un pilote réel sur des dossiers de due diligence en cours, pas sur une démo fournisseur.</w:t>
      </w:r>
    </w:p>
    <w:p>
      <w:pPr>
        <w:pStyle w:val="Heading2"/>
        <w:spacing w:after="140" w:before="300"/>
      </w:pPr>
      <w:r>
        <w:rPr>
          <w:rFonts w:ascii="Calibri" w:cs="Calibri" w:eastAsia="Calibri" w:hAnsi="Calibri"/>
          <w:b/>
          <w:bCs/>
          <w:color w:val="1F2937"/>
          <w:sz w:val="25"/>
          <w:szCs w:val="25"/>
        </w:rPr>
        <w:t xml:space="preserve">Phase 1 (J0-J15) — Quick wins et cadrage</w:t>
      </w:r>
    </w:p>
    <w:p>
      <w:pPr>
        <w:pStyle w:val="ListParagraph"/>
        <w:numPr>
          <w:ilvl w:val="0"/>
          <w:numId w:val="2"/>
        </w:numPr>
        <w:spacing w:after="80"/>
      </w:pPr>
      <w:r>
        <w:rPr>
          <w:rFonts w:ascii="Calibri" w:cs="Calibri" w:eastAsia="Calibri" w:hAnsi="Calibri"/>
          <w:sz w:val="20"/>
          <w:szCs w:val="20"/>
        </w:rPr>
        <w:t xml:space="preserve">Confirmer la stack collaborative en place (M365 ou Google Workspace) et activer l'assistant natif correspondant (Copilot ou Gemini) sur un périmètre pilote de 10-15 documents.</w:t>
      </w:r>
    </w:p>
    <w:p>
      <w:pPr>
        <w:pStyle w:val="ListParagraph"/>
        <w:numPr>
          <w:ilvl w:val="0"/>
          <w:numId w:val="2"/>
        </w:numPr>
        <w:spacing w:after="80"/>
      </w:pPr>
      <w:r>
        <w:rPr>
          <w:rFonts w:ascii="Calibri" w:cs="Calibri" w:eastAsia="Calibri" w:hAnsi="Calibri"/>
          <w:sz w:val="20"/>
          <w:szCs w:val="20"/>
        </w:rPr>
        <w:t xml:space="preserve">Rédiger et diffuser la charte d'usage IA interne (2 pages) : outils autorisés, données interdites d'usage dans les outils grand public non gouvernés.</w:t>
      </w:r>
    </w:p>
    <w:p>
      <w:pPr>
        <w:pStyle w:val="ListParagraph"/>
        <w:numPr>
          <w:ilvl w:val="0"/>
          <w:numId w:val="2"/>
        </w:numPr>
        <w:spacing w:after="80"/>
      </w:pPr>
      <w:r>
        <w:rPr>
          <w:rFonts w:ascii="Calibri" w:cs="Calibri" w:eastAsia="Calibri" w:hAnsi="Calibri"/>
          <w:sz w:val="20"/>
          <w:szCs w:val="20"/>
        </w:rPr>
        <w:t xml:space="preserve">Cartographier la base documentaire existante (volumétrie réelle, arborescence SharePoint/Drive, qualité de nommage) pour fiabiliser les hypothèses H2 et H4.</w:t>
      </w:r>
    </w:p>
    <w:p>
      <w:pPr>
        <w:pStyle w:val="ListParagraph"/>
        <w:numPr>
          <w:ilvl w:val="0"/>
          <w:numId w:val="2"/>
        </w:numPr>
        <w:spacing w:after="80"/>
      </w:pPr>
      <w:r>
        <w:rPr>
          <w:rFonts w:ascii="Calibri" w:cs="Calibri" w:eastAsia="Calibri" w:hAnsi="Calibri"/>
          <w:sz w:val="20"/>
          <w:szCs w:val="20"/>
        </w:rPr>
        <w:t xml:space="preserve">Qui fait quoi : le décideur porte la charte d'usage ; un chargé d'investissement pilote la cartographie documentaire ; le stagiaire technique est recruté ou affecté sur ce créneau.</w:t>
      </w:r>
    </w:p>
    <w:p>
      <w:pPr>
        <w:pStyle w:val="Heading2"/>
        <w:spacing w:after="140" w:before="300"/>
      </w:pPr>
      <w:r>
        <w:rPr>
          <w:rFonts w:ascii="Calibri" w:cs="Calibri" w:eastAsia="Calibri" w:hAnsi="Calibri"/>
          <w:b/>
          <w:bCs/>
          <w:color w:val="1F2937"/>
          <w:sz w:val="25"/>
          <w:szCs w:val="25"/>
        </w:rPr>
        <w:t xml:space="preserve">Phase 2 (J15-J45) — Pilote M1 et M3</w:t>
      </w:r>
    </w:p>
    <w:p>
      <w:pPr>
        <w:pStyle w:val="ListParagraph"/>
        <w:numPr>
          <w:ilvl w:val="0"/>
          <w:numId w:val="2"/>
        </w:numPr>
        <w:spacing w:after="80"/>
      </w:pPr>
      <w:r>
        <w:rPr>
          <w:rFonts w:ascii="Calibri" w:cs="Calibri" w:eastAsia="Calibri" w:hAnsi="Calibri"/>
          <w:sz w:val="20"/>
          <w:szCs w:val="20"/>
        </w:rPr>
        <w:t xml:space="preserve">Indexer la base documentaire existante dans l'outil M1 retenu (Copilot/Gemini natif + Notion en complément si besoin) et tester sur l'échantillon de 50 questions du critère de succès (section 2).</w:t>
      </w:r>
    </w:p>
    <w:p>
      <w:pPr>
        <w:pStyle w:val="ListParagraph"/>
        <w:numPr>
          <w:ilvl w:val="0"/>
          <w:numId w:val="2"/>
        </w:numPr>
        <w:spacing w:after="80"/>
      </w:pPr>
      <w:r>
        <w:rPr>
          <w:rFonts w:ascii="Calibri" w:cs="Calibri" w:eastAsia="Calibri" w:hAnsi="Calibri"/>
          <w:sz w:val="20"/>
          <w:szCs w:val="20"/>
        </w:rPr>
        <w:t xml:space="preserve">Mettre en place le pipeline Airtable + Make/n8n pour la saisie assistée des données de fonds (M3), sur un sous-ensemble de 10-15 fonds représentatifs.</w:t>
      </w:r>
    </w:p>
    <w:p>
      <w:pPr>
        <w:pStyle w:val="ListParagraph"/>
        <w:numPr>
          <w:ilvl w:val="0"/>
          <w:numId w:val="2"/>
        </w:numPr>
        <w:spacing w:after="80"/>
      </w:pPr>
      <w:r>
        <w:rPr>
          <w:rFonts w:ascii="Calibri" w:cs="Calibri" w:eastAsia="Calibri" w:hAnsi="Calibri"/>
          <w:sz w:val="20"/>
          <w:szCs w:val="20"/>
        </w:rPr>
        <w:t xml:space="preserve">Lancer l'appel d'offres restreint à 3 devis sur la brique d'extraction M3 (Canoe vs Vestberry vs pipeline interne), décision n°3 de la synthèse exécutive.</w:t>
      </w:r>
    </w:p>
    <w:p>
      <w:pPr>
        <w:pStyle w:val="ListParagraph"/>
        <w:numPr>
          <w:ilvl w:val="0"/>
          <w:numId w:val="2"/>
        </w:numPr>
        <w:spacing w:after="80"/>
      </w:pPr>
      <w:r>
        <w:rPr>
          <w:rFonts w:ascii="Calibri" w:cs="Calibri" w:eastAsia="Calibri" w:hAnsi="Calibri"/>
          <w:sz w:val="20"/>
          <w:szCs w:val="20"/>
        </w:rPr>
        <w:t xml:space="preserve">Qui fait quoi : le stagiaire technique construit le pipeline Airtable/Make sous supervision d'un chargé d'investissement ; le décideur pilote l'appel d'offres M3.</w:t>
      </w:r>
    </w:p>
    <w:p>
      <w:pPr>
        <w:pStyle w:val="Heading2"/>
        <w:spacing w:after="140" w:before="300"/>
      </w:pPr>
      <w:r>
        <w:rPr>
          <w:rFonts w:ascii="Calibri" w:cs="Calibri" w:eastAsia="Calibri" w:hAnsi="Calibri"/>
          <w:b/>
          <w:bCs/>
          <w:color w:val="1F2937"/>
          <w:sz w:val="25"/>
          <w:szCs w:val="25"/>
        </w:rPr>
        <w:t xml:space="preserve">Phase 3 (J45-J90) — Pilote M2 et décision de passage à l'échelle</w:t>
      </w:r>
    </w:p>
    <w:p>
      <w:pPr>
        <w:pStyle w:val="ListParagraph"/>
        <w:numPr>
          <w:ilvl w:val="0"/>
          <w:numId w:val="2"/>
        </w:numPr>
        <w:spacing w:after="80"/>
      </w:pPr>
      <w:r>
        <w:rPr>
          <w:rFonts w:ascii="Calibri" w:cs="Calibri" w:eastAsia="Calibri" w:hAnsi="Calibri"/>
          <w:sz w:val="20"/>
          <w:szCs w:val="20"/>
        </w:rPr>
        <w:t xml:space="preserve">Piloter le copilote de due diligence sur 2 à 3 dossiers réels en cours (pas de données de démonstration), avec Claude Pro/Enterprise et Crunchbase Pro comme socle minimal.</w:t>
      </w:r>
    </w:p>
    <w:p>
      <w:pPr>
        <w:pStyle w:val="ListParagraph"/>
        <w:numPr>
          <w:ilvl w:val="0"/>
          <w:numId w:val="2"/>
        </w:numPr>
        <w:spacing w:after="80"/>
      </w:pPr>
      <w:r>
        <w:rPr>
          <w:rFonts w:ascii="Calibri" w:cs="Calibri" w:eastAsia="Calibri" w:hAnsi="Calibri"/>
          <w:sz w:val="20"/>
          <w:szCs w:val="20"/>
        </w:rPr>
        <w:t xml:space="preserve">Sélectionner le prestataire externe pour le développement du noyau RAG propriétaire (décision n°1 de la synthèse exécutive), sur la base d'un cahier des charges issu des phases 1-2.</w:t>
      </w:r>
    </w:p>
    <w:p>
      <w:pPr>
        <w:pStyle w:val="ListParagraph"/>
        <w:numPr>
          <w:ilvl w:val="0"/>
          <w:numId w:val="2"/>
        </w:numPr>
        <w:spacing w:after="80"/>
      </w:pPr>
      <w:r>
        <w:rPr>
          <w:rFonts w:ascii="Calibri" w:cs="Calibri" w:eastAsia="Calibri" w:hAnsi="Calibri"/>
          <w:sz w:val="20"/>
          <w:szCs w:val="20"/>
        </w:rPr>
        <w:t xml:space="preserve">Évaluer les critères de passage à l'échelle : les trois critères de succès mesurables (section 2) sont-ils atteints sur le pilote ? Si oui, déclencher le budget Intermédiaire/Hybride complet (section 5) ; si non, prolonger le pilote de 30 jours en ajustant le périmètre.</w:t>
      </w:r>
    </w:p>
    <w:p>
      <w:pPr>
        <w:pStyle w:val="ListParagraph"/>
        <w:numPr>
          <w:ilvl w:val="0"/>
          <w:numId w:val="2"/>
        </w:numPr>
        <w:spacing w:after="80"/>
      </w:pPr>
      <w:r>
        <w:rPr>
          <w:rFonts w:ascii="Calibri" w:cs="Calibri" w:eastAsia="Calibri" w:hAnsi="Calibri"/>
          <w:sz w:val="20"/>
          <w:szCs w:val="20"/>
        </w:rPr>
        <w:t xml:space="preserve">Qui fait quoi : le décideur arbitre le go/no-go en comité ; le prestataire externe démarre le développement dès validation ; l'équipe documente les retours d'usage du pilote M2.</w:t>
      </w:r>
    </w:p>
    <w:p>
      <w:r>
        <w:br w:type="page"/>
      </w:r>
    </w:p>
    <w:p>
      <w:pPr>
        <w:pStyle w:val="Heading1"/>
        <w:spacing w:after="200" w:before="420"/>
      </w:pPr>
      <w:r>
        <w:rPr>
          <w:rFonts w:ascii="Calibri" w:cs="Calibri" w:eastAsia="Calibri" w:hAnsi="Calibri"/>
          <w:b/>
          <w:bCs/>
          <w:color w:val="2E5266"/>
          <w:sz w:val="30"/>
          <w:szCs w:val="30"/>
        </w:rPr>
        <w:t xml:space="preserve">8. Risques et facteurs d'échec</w:t>
      </w:r>
    </w:p>
    <w:p>
      <w:pPr>
        <w:spacing w:after="200" w:before="0" w:line="276"/>
      </w:pPr>
      <w:r>
        <w:rPr>
          <w:rFonts w:ascii="Calibri" w:cs="Calibri" w:eastAsia="Calibri" w:hAnsi="Calibri"/>
          <w:b/>
          <w:bCs/>
          <w:sz w:val="21"/>
          <w:szCs w:val="21"/>
        </w:rPr>
        <w:t xml:space="preserve">Le risque le plus probable n'est pas technique mais humain : une équipe non technique qui ne s'approprie pas l'outil en 60 jours l'abandonnera, quel que soit son niveau de sophistication.</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000"/>
        <w:gridCol w:w="4166"/>
        <w:gridCol w:w="4300"/>
      </w:tblGrid>
      <w:tr>
        <w:trPr>
          <w:tblHeader/>
        </w:trPr>
        <w:tc>
          <w:tcPr>
            <w:tcW w:type="dxa" w:w="20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Risque</w:t>
            </w:r>
          </w:p>
        </w:tc>
        <w:tc>
          <w:tcPr>
            <w:tcW w:type="dxa" w:w="41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Manifestation concrète</w:t>
            </w:r>
          </w:p>
        </w:tc>
        <w:tc>
          <w:tcPr>
            <w:tcW w:type="dxa" w:w="43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Mitigation</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Adoption insuffisante</w:t>
            </w:r>
          </w:p>
        </w:tc>
        <w:tc>
          <w:tcPr>
            <w:tcW w:type="dxa" w:w="4166"/>
            <w:tcMar>
              <w:top w:type="dxa" w:w="50"/>
              <w:left w:type="dxa" w:w="80"/>
              <w:bottom w:type="dxa" w:w="50"/>
              <w:right w:type="dxa" w:w="80"/>
            </w:tcMar>
            <w:vAlign w:val="center"/>
          </w:tcPr>
          <w:p>
            <w:pPr>
              <w:spacing w:after="0"/>
            </w:pPr>
            <w:r>
              <w:rPr>
                <w:rFonts w:ascii="Calibri" w:cs="Calibri" w:eastAsia="Calibri" w:hAnsi="Calibri"/>
                <w:sz w:val="16"/>
                <w:szCs w:val="16"/>
              </w:rPr>
              <w:t xml:space="preserve">L'équipe retourne à la recherche manuelle dans SharePoint/Drive après 2-3 semaines faute d'habitude</w:t>
            </w:r>
          </w:p>
        </w:tc>
        <w:tc>
          <w:tcPr>
            <w:tcW w:type="dxa" w:w="4300"/>
            <w:tcMar>
              <w:top w:type="dxa" w:w="50"/>
              <w:left w:type="dxa" w:w="80"/>
              <w:bottom w:type="dxa" w:w="50"/>
              <w:right w:type="dxa" w:w="80"/>
            </w:tcMar>
            <w:vAlign w:val="center"/>
          </w:tcPr>
          <w:p>
            <w:pPr>
              <w:spacing w:after="0"/>
            </w:pPr>
            <w:r>
              <w:rPr>
                <w:rFonts w:ascii="Calibri" w:cs="Calibri" w:eastAsia="Calibri" w:hAnsi="Calibri"/>
                <w:sz w:val="16"/>
                <w:szCs w:val="16"/>
              </w:rPr>
              <w:t xml:space="preserve">Désigner un "champion" interne, intégrer l'assistant dans les outils déjà ouverts (Teams/Outlook ou Gmail) plutôt qu'une interface séparée, mesurer l'adoption hebdomadaire dès le pilote</w:t>
            </w:r>
          </w:p>
        </w:tc>
      </w:tr>
      <w:tr>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Qualité des données sources</w:t>
            </w:r>
          </w:p>
        </w:tc>
        <w:tc>
          <w:tcPr>
            <w:tcW w:type="dxa" w:w="41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Documents mal nommés, dupliqués ou non structurés dégradent la pertinence des réponses de M1 et M2</w:t>
            </w:r>
          </w:p>
        </w:tc>
        <w:tc>
          <w:tcPr>
            <w:tcW w:type="dxa" w:w="43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Imposer une convention de nommage et un rangement minimal avant indexation ; nettoyer/OCR les PDF scannés en amont plutôt qu'après coup</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Hallucinations et absence de contrôle humain</w:t>
            </w:r>
          </w:p>
        </w:tc>
        <w:tc>
          <w:tcPr>
            <w:tcW w:type="dxa" w:w="4166"/>
            <w:tcMar>
              <w:top w:type="dxa" w:w="50"/>
              <w:left w:type="dxa" w:w="80"/>
              <w:bottom w:type="dxa" w:w="50"/>
              <w:right w:type="dxa" w:w="80"/>
            </w:tcMar>
            <w:vAlign w:val="center"/>
          </w:tcPr>
          <w:p>
            <w:pPr>
              <w:spacing w:after="0"/>
            </w:pPr>
            <w:r>
              <w:rPr>
                <w:rFonts w:ascii="Calibri" w:cs="Calibri" w:eastAsia="Calibri" w:hAnsi="Calibri"/>
                <w:sz w:val="16"/>
                <w:szCs w:val="16"/>
              </w:rPr>
              <w:t xml:space="preserve">Un chiffre erroné généré par l'IA est repris dans une note diffusée en comité d'investissement</w:t>
            </w:r>
          </w:p>
        </w:tc>
        <w:tc>
          <w:tcPr>
            <w:tcW w:type="dxa" w:w="4300"/>
            <w:tcMar>
              <w:top w:type="dxa" w:w="50"/>
              <w:left w:type="dxa" w:w="80"/>
              <w:bottom w:type="dxa" w:w="50"/>
              <w:right w:type="dxa" w:w="80"/>
            </w:tcMar>
            <w:vAlign w:val="center"/>
          </w:tcPr>
          <w:p>
            <w:pPr>
              <w:spacing w:after="0"/>
            </w:pPr>
            <w:r>
              <w:rPr>
                <w:rFonts w:ascii="Calibri" w:cs="Calibri" w:eastAsia="Calibri" w:hAnsi="Calibri"/>
                <w:sz w:val="16"/>
                <w:szCs w:val="16"/>
              </w:rPr>
              <w:t xml:space="preserve">RAG avec citation systématique de la source ; revue humaine obligatoire de tout chiffre engageant avant diffusion (règle non négociable, cf. critère de succès M2)</w:t>
            </w:r>
          </w:p>
        </w:tc>
      </w:tr>
      <w:tr>
        <w:tc>
          <w:tcPr>
            <w:tcW w:type="dxa" w:w="20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Enfermement fournisseur (vendor lock-in)</w:t>
            </w:r>
          </w:p>
        </w:tc>
        <w:tc>
          <w:tcPr>
            <w:tcW w:type="dxa" w:w="41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Migration impossible ou ruineuse si un éditeur SaaS augmente ses tarifs ou change ses conditions</w:t>
            </w:r>
          </w:p>
        </w:tc>
        <w:tc>
          <w:tcPr>
            <w:tcW w:type="dxa" w:w="43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Découpler le stockage des données brutes (Supabase/base propre) de la couche applicative SaaS ; exporter régulièrement les données ; privilégier des contrats ≤ 12 mois tant que le scénario n'est pas stabilisé</w:t>
            </w:r>
          </w:p>
        </w:tc>
      </w:tr>
      <w:tr>
        <w:tc>
          <w:tcPr>
            <w:tcW w:type="dxa" w:w="2000"/>
            <w:tcMar>
              <w:top w:type="dxa" w:w="50"/>
              <w:left w:type="dxa" w:w="80"/>
              <w:bottom w:type="dxa" w:w="50"/>
              <w:right w:type="dxa" w:w="80"/>
            </w:tcMar>
            <w:vAlign w:val="center"/>
          </w:tcPr>
          <w:p>
            <w:pPr>
              <w:spacing w:after="0"/>
            </w:pPr>
            <w:r>
              <w:rPr>
                <w:rFonts w:ascii="Calibri" w:cs="Calibri" w:eastAsia="Calibri" w:hAnsi="Calibri"/>
                <w:sz w:val="16"/>
                <w:szCs w:val="16"/>
              </w:rPr>
              <w:t xml:space="preserve">Obsolescence rapide du marché</w:t>
            </w:r>
          </w:p>
        </w:tc>
        <w:tc>
          <w:tcPr>
            <w:tcW w:type="dxa" w:w="4166"/>
            <w:tcMar>
              <w:top w:type="dxa" w:w="50"/>
              <w:left w:type="dxa" w:w="80"/>
              <w:bottom w:type="dxa" w:w="50"/>
              <w:right w:type="dxa" w:w="80"/>
            </w:tcMar>
            <w:vAlign w:val="center"/>
          </w:tcPr>
          <w:p>
            <w:pPr>
              <w:spacing w:after="0"/>
            </w:pPr>
            <w:r>
              <w:rPr>
                <w:rFonts w:ascii="Calibri" w:cs="Calibri" w:eastAsia="Calibri" w:hAnsi="Calibri"/>
                <w:sz w:val="16"/>
                <w:szCs w:val="16"/>
              </w:rPr>
              <w:t xml:space="preserve">Un outil sélectionné aujourd'hui est dépassé ou racheté dans les 12-18 mois (marché de l'IA financière encore jeune, ex. Rogo, Hebbia)</w:t>
            </w:r>
          </w:p>
        </w:tc>
        <w:tc>
          <w:tcPr>
            <w:tcW w:type="dxa" w:w="4300"/>
            <w:tcMar>
              <w:top w:type="dxa" w:w="50"/>
              <w:left w:type="dxa" w:w="80"/>
              <w:bottom w:type="dxa" w:w="50"/>
              <w:right w:type="dxa" w:w="80"/>
            </w:tcMar>
            <w:vAlign w:val="center"/>
          </w:tcPr>
          <w:p>
            <w:pPr>
              <w:spacing w:after="0"/>
            </w:pPr>
            <w:r>
              <w:rPr>
                <w:rFonts w:ascii="Calibri" w:cs="Calibri" w:eastAsia="Calibri" w:hAnsi="Calibri"/>
                <w:sz w:val="16"/>
                <w:szCs w:val="16"/>
              </w:rPr>
              <w:t xml:space="preserve">Architecture modulaire (scénario D) qui isole chaque brique ; veille trimestrielle du marché ; clauses de sortie sans pénalité dans les contrats SaaS</w:t>
            </w:r>
          </w:p>
        </w:tc>
      </w:tr>
    </w:tbl>
    <w:p>
      <w:pPr>
        <w:spacing w:after="100" w:before="60" w:line="276"/>
      </w:pPr>
      <w:r>
        <w:rPr>
          <w:rFonts w:ascii="Calibri" w:cs="Calibri" w:eastAsia="Calibri" w:hAnsi="Calibri"/>
          <w:b/>
          <w:bCs/>
          <w:i/>
          <w:iCs/>
          <w:color w:val="2E5266"/>
          <w:sz w:val="18"/>
          <w:szCs w:val="18"/>
        </w:rPr>
        <w:t xml:space="preserve">Tableau 9 — Risques et mitigations</w:t>
      </w:r>
    </w:p>
    <w:p>
      <w:r>
        <w:br w:type="page"/>
      </w:r>
    </w:p>
    <w:p>
      <w:pPr>
        <w:pStyle w:val="Heading1"/>
        <w:spacing w:after="200" w:before="420"/>
      </w:pPr>
      <w:r>
        <w:rPr>
          <w:rFonts w:ascii="Calibri" w:cs="Calibri" w:eastAsia="Calibri" w:hAnsi="Calibri"/>
          <w:b/>
          <w:bCs/>
          <w:color w:val="2E5266"/>
          <w:sz w:val="30"/>
          <w:szCs w:val="30"/>
        </w:rPr>
        <w:t xml:space="preserve">9. Recommandation finale</w:t>
      </w:r>
    </w:p>
    <w:p>
      <w:pPr>
        <w:spacing w:after="200" w:before="0" w:line="276"/>
      </w:pPr>
      <w:r>
        <w:rPr>
          <w:rFonts w:ascii="Calibri" w:cs="Calibri" w:eastAsia="Calibri" w:hAnsi="Calibri"/>
          <w:b/>
          <w:bCs/>
          <w:sz w:val="21"/>
          <w:szCs w:val="21"/>
        </w:rPr>
        <w:t xml:space="preserve">Buy pour démarrer, build pour durer : Juniclair doit activer les quick wins natifs de sa suite collaborative dès maintenant, et engager en parallèle la construction d'un noyau propriétaire qui devient, à 12-18 mois, le socle de M1 et M2 — car c'est là que se joue la vraie valeur et la vraie confidentialité de l'activité Capital Innovation.</w:t>
      </w:r>
    </w:p>
    <w:p>
      <w:pPr>
        <w:spacing w:after="160" w:before="0" w:line="276"/>
      </w:pPr>
      <w:r>
        <w:rPr>
          <w:rFonts w:ascii="Calibri" w:cs="Calibri" w:eastAsia="Calibri" w:hAnsi="Calibri"/>
          <w:sz w:val="21"/>
          <w:szCs w:val="21"/>
        </w:rPr>
        <w:t xml:space="preserve">Le choix tranché est le scénario D — Hybride séquencé, avec un budget d'amorçage de 57 000 € HT en année 1 (section 5.4). Ce choix repose sur trois constats convergents établis dans cette étude : (1) la quasi-totalité des solutions SaaS institutionnelles pertinentes (Glean, PitchBook, CB Insights, Chronograph, Allvue) sont dimensionnées pour des équipes de 50 à plusieurs centaines de personnes et imposent des seuils contractuels hors de portée d'une équipe de 6 ; (2) le coût réel de l'IA elle-même est négligeable (moins de 300 €/an de consommation API au stade Intermédiaire) — ce qui signifie que payer une prime SaaS pour la seule couche IA n'a pas de justification économique dès lors qu'on maîtrise l'orchestration ; (3) la donnée la plus stratégique de Juniclair — sa mémoire d'investissement et l'historique de ses due diligences — ne doit pas être structurée dans le format propriétaire d'un éditeur tiers, faute de quoi la dépendance devient irréversible.</w:t>
      </w:r>
    </w:p>
    <w:p>
      <w:pPr>
        <w:spacing w:after="160" w:before="0" w:line="276"/>
      </w:pPr>
      <w:r>
        <w:rPr>
          <w:rFonts w:ascii="Calibri" w:cs="Calibri" w:eastAsia="Calibri" w:hAnsi="Calibri"/>
          <w:sz w:val="20"/>
          <w:szCs w:val="20"/>
        </w:rPr>
        <w:t xml:space="preserve">Ce qui ferait changer d'avis : si le volume de due diligence dépasse durablement 40-50 dossiers approfondis par an (contre 15-25 en hypothèse H4-proche), le calcul bascule en faveur d'un outil d'agent spécialisé du marché (Hebbia ou équivalent) plutôt que d'un développement interne, car le coût de maintenance d'un RAG propriétaire n'est alors plus amorti par le volume. De même, si Juniclair recrute un profil technique permanent (data engineer/développeur) pour d'autres raisons que ce projet, le scénario Ambitieux devient immédiatement plus attractif car son coût de maintenance marginal chute fortement.</w:t>
      </w:r>
    </w:p>
    <w:p>
      <w:r>
        <w:br w:type="page"/>
      </w:r>
    </w:p>
    <w:p>
      <w:pPr>
        <w:pStyle w:val="Heading1"/>
        <w:spacing w:after="200" w:before="420"/>
      </w:pPr>
      <w:r>
        <w:rPr>
          <w:rFonts w:ascii="Calibri" w:cs="Calibri" w:eastAsia="Calibri" w:hAnsi="Calibri"/>
          <w:b/>
          <w:bCs/>
          <w:color w:val="2E5266"/>
          <w:sz w:val="30"/>
          <w:szCs w:val="30"/>
        </w:rPr>
        <w:t xml:space="preserve">10. Annexes</w:t>
      </w:r>
    </w:p>
    <w:p>
      <w:pPr>
        <w:pStyle w:val="Heading2"/>
        <w:spacing w:after="140" w:before="300"/>
      </w:pPr>
      <w:r>
        <w:rPr>
          <w:rFonts w:ascii="Calibri" w:cs="Calibri" w:eastAsia="Calibri" w:hAnsi="Calibri"/>
          <w:b/>
          <w:bCs/>
          <w:color w:val="1F2937"/>
          <w:sz w:val="25"/>
          <w:szCs w:val="25"/>
        </w:rPr>
        <w:t xml:space="preserve">10.1 Hypothèses retenues</w:t>
      </w:r>
    </w:p>
    <w:p>
      <w:pPr>
        <w:spacing w:after="160" w:before="0" w:line="276"/>
      </w:pPr>
      <w:r>
        <w:rPr>
          <w:rFonts w:ascii="Calibri" w:cs="Calibri" w:eastAsia="Calibri" w:hAnsi="Calibri"/>
          <w:sz w:val="21"/>
          <w:szCs w:val="21"/>
        </w:rPr>
        <w:t xml:space="preserve">Voir la liste complète en ouverture de document (H1 à H12). Chaque hypothèse est réutilisée telle quelle dans les calculs de coûts (section 5) et dans le cadrage des besoins (section 2).</w:t>
      </w:r>
    </w:p>
    <w:p>
      <w:pPr>
        <w:pStyle w:val="Heading2"/>
        <w:spacing w:after="140" w:before="300"/>
      </w:pPr>
      <w:r>
        <w:rPr>
          <w:rFonts w:ascii="Calibri" w:cs="Calibri" w:eastAsia="Calibri" w:hAnsi="Calibri"/>
          <w:b/>
          <w:bCs/>
          <w:color w:val="1F2937"/>
          <w:sz w:val="25"/>
          <w:szCs w:val="25"/>
        </w:rPr>
        <w:t xml:space="preserve">10.2 Sources et dates de consultation</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2800"/>
        <w:gridCol w:w="6266"/>
        <w:gridCol w:w="1400"/>
      </w:tblGrid>
      <w:tr>
        <w:trPr>
          <w:tblHeader/>
        </w:trPr>
        <w:tc>
          <w:tcPr>
            <w:tcW w:type="dxa" w:w="2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Sujet</w:t>
            </w:r>
          </w:p>
        </w:tc>
        <w:tc>
          <w:tcPr>
            <w:tcW w:type="dxa" w:w="62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Référence(s)</w:t>
            </w:r>
          </w:p>
        </w:tc>
        <w:tc>
          <w:tcPr>
            <w:tcW w:type="dxa" w:w="14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Consulté le</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Microsoft 365 Copilot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velosio.com/blog/m365-copilot-pricing-calculator ; dynamicssmartz.com/blog/microsoft-365-copilot-guide</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Google Workspace / Gemini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eesel.ai/blog/gemini-workspace-pricing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Glean — tarifs et TCO</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gosearch.ai/blog/glean-total-cost-of-ownership ; vendr.com/marketplace/glean</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Perplexity Enterprise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perplexity.ai/help-center (Enterprise Pricing and Billing FAQ)</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Notion AI / Notion Business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felloai.com/notion-ai-pricing</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Claude (Anthropic) — tarifs Pro/Enterprise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tldv.io/blog/claude-enterprise-pricing ; claude.com/pricing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ChatGPT Enterprise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coworker.ai/blog/chatgpt-enterprise-pricing ; atonementlicensing.com/blog/chatgpt-enterprise-pricing-2026</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Mistral / Le Chat Enterprise — tarifs et résidence UE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techjacksolutions.com/ai-tools/mistral/mistral-pricing ; costbench.com/software/ai-chatbots/mistral</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PitchBook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easyvc.ai/vs/pitchbook-pricing ; trustradius.com/products/pitchbook/pricing</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Preqin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costbench.com/software/financial-data-terminals/preqin ; vendr.com/marketplace/preqin</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Crunchbase Pro/Enterprise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revpilots.com/pricing/crunchbase-pricing-2 ; g2.com/products/crunchbase/pricing</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CB Insights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easyvc.ai/vs/cb-insights-pricing ; trustradius.com/products/cb-insights/pricing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Hebbia — tarifs et cas d'usage DD</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eesel.ai/blog/hebbia-ai-pricing ; aiagentsquare.com/blog/hebbia-pricing ; hebbia.com/resources/ai-due-diligence</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Rogo — financement et positionnement</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rogo.ai/news/series-d ; sacra.com/c/rogo</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n8n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connectsafely.ai/articles/n8n-cloud-pricing-guide ; costbench.com/software/ai-automation/n8n</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Make.com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lindy.ai/blog/make-com-pricing ; costbench.com/software/ai-automation/make</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Cursor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cursor.com/blog/teams-pricing-june-2026 ; nxcode.io/resources/news/cursor-ai-pricing-plans-guide-2026</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Canoe Intelligence — positionnement et volumétrie</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canoeintelligence.com ; canoeintelligence.com/solutions</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Chronograph — positionnement</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chronograph.pe ; chronograph.pe/about</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Allvue Systems — positionnement</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allvuesystems.com/solutions/portfolio-monitoring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Dynamo Software — positionnement</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dynamosoftware.com/markets/private-equity</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Vestberry — positionnement</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vestberry.com ; vestberry.com/blog/portfolio-management-software</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Airtable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vendr.com/marketplace/airtable ; tinycommand.com/blogs/airtable-pricing-explained</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Power BI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toucantoco.com/en/blog/power-bi-pricing ; getdot.ai/blog/microsoft-power-bi-pricing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OpenAI API — tarifs par token</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aipricing.guru/openai-pricing ; benchlm.ai/openai/api-pricing</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Anthropic API — tarifs par token</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finout.io/blog/anthropic-api-pricing ; cloudzero.com/blog/claude-api-pricing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Pinecone — tarifs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ranksquire.com/2026/04/02/pinecone-pricing-2026 ; tigerdata.com/blog/a-guide-to-pinecone-pricing</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Supabase — tarifs</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uibakery.io/blog/supabase-pricing</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Azure OpenAI — régions UE et data zones</w:t>
            </w:r>
          </w:p>
        </w:tc>
        <w:tc>
          <w:tcPr>
            <w:tcW w:type="dxa" w:w="6266"/>
            <w:tcMar>
              <w:top w:type="dxa" w:w="50"/>
              <w:left w:type="dxa" w:w="80"/>
              <w:bottom w:type="dxa" w:w="50"/>
              <w:right w:type="dxa" w:w="80"/>
            </w:tcMar>
            <w:vAlign w:val="center"/>
          </w:tcPr>
          <w:p>
            <w:pPr>
              <w:spacing w:after="0"/>
            </w:pPr>
            <w:r>
              <w:rPr>
                <w:rFonts w:ascii="Calibri" w:cs="Calibri" w:eastAsia="Calibri" w:hAnsi="Calibri"/>
                <w:sz w:val="16"/>
                <w:szCs w:val="16"/>
              </w:rPr>
              <w:t xml:space="preserve">learn.microsoft.com/en-us/azure/foundry/foundry-models/concepts/deployment-types ; openai.com/index/introducing-data-residency-in-europe</w:t>
            </w:r>
          </w:p>
        </w:tc>
        <w:tc>
          <w:tcPr>
            <w:tcW w:type="dxa" w:w="1400"/>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r>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Politiques de rétention / non-entraînement API</w:t>
            </w:r>
          </w:p>
        </w:tc>
        <w:tc>
          <w:tcPr>
            <w:tcW w:type="dxa" w:w="62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arxiv.org/pdf/2510.11558 ; formation-claude-ia.fr/en/blog/does-anthropic-train-on-my-data ; meetily.ai/llm-privacy/openai</w:t>
            </w:r>
          </w:p>
        </w:tc>
        <w:tc>
          <w:tcPr>
            <w:tcW w:type="dxa" w:w="14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26/07/2026</w:t>
            </w:r>
          </w:p>
        </w:tc>
      </w:tr>
    </w:tbl>
    <w:p>
      <w:pPr>
        <w:spacing w:after="100" w:before="60" w:line="276"/>
      </w:pPr>
      <w:r>
        <w:rPr>
          <w:rFonts w:ascii="Calibri" w:cs="Calibri" w:eastAsia="Calibri" w:hAnsi="Calibri"/>
          <w:b/>
          <w:bCs/>
          <w:i/>
          <w:iCs/>
          <w:color w:val="2E5266"/>
          <w:sz w:val="18"/>
          <w:szCs w:val="18"/>
        </w:rPr>
        <w:t xml:space="preserve">Tableau 10 — Sources et dates de consultation</w:t>
      </w:r>
    </w:p>
    <w:p>
      <w:pPr>
        <w:pStyle w:val="Heading2"/>
        <w:spacing w:after="140" w:before="300"/>
      </w:pPr>
      <w:r>
        <w:rPr>
          <w:rFonts w:ascii="Calibri" w:cs="Calibri" w:eastAsia="Calibri" w:hAnsi="Calibri"/>
          <w:b/>
          <w:bCs/>
          <w:color w:val="1F2937"/>
          <w:sz w:val="25"/>
          <w:szCs w:val="25"/>
        </w:rPr>
        <w:t xml:space="preserve">10.3 Matrice de comparaison complète — synthèse des verdicts</w:t>
      </w:r>
    </w:p>
    <w:tbl>
      <w:tblPr>
        <w:tblW w:type="dxa" w:w="10466"/>
        <w:tblBorders>
          <w:top w:val="single" w:color="B7BFC9" w:sz="2"/>
          <w:left w:val="single" w:color="B7BFC9" w:sz="2"/>
          <w:bottom w:val="single" w:color="B7BFC9" w:sz="2"/>
          <w:right w:val="single" w:color="B7BFC9" w:sz="2"/>
          <w:insideH w:val="single" w:color="D3D8DE" w:sz="2"/>
          <w:insideV w:val="single" w:color="D3D8DE" w:sz="2"/>
        </w:tblBorders>
      </w:tblPr>
      <w:tblGrid>
        <w:gridCol w:w="1700"/>
        <w:gridCol w:w="3200"/>
        <w:gridCol w:w="2800"/>
        <w:gridCol w:w="2766"/>
      </w:tblGrid>
      <w:tr>
        <w:trPr>
          <w:tblHeader/>
        </w:trPr>
        <w:tc>
          <w:tcPr>
            <w:tcW w:type="dxa" w:w="17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Module</w:t>
            </w:r>
          </w:p>
        </w:tc>
        <w:tc>
          <w:tcPr>
            <w:tcW w:type="dxa" w:w="32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Retenu</w:t>
            </w:r>
          </w:p>
        </w:tc>
        <w:tc>
          <w:tcPr>
            <w:tcW w:type="dxa" w:w="2800"/>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Alternative</w:t>
            </w:r>
          </w:p>
        </w:tc>
        <w:tc>
          <w:tcPr>
            <w:tcW w:type="dxa" w:w="2766"/>
            <w:shd w:fill="2E5266" w:val="clear"/>
            <w:tcMar>
              <w:top w:type="dxa" w:w="60"/>
              <w:left w:type="dxa" w:w="80"/>
              <w:bottom w:type="dxa" w:w="60"/>
              <w:right w:type="dxa" w:w="80"/>
            </w:tcMar>
            <w:vAlign w:val="center"/>
          </w:tcPr>
          <w:p>
            <w:pPr>
              <w:spacing w:after="0"/>
            </w:pPr>
            <w:r>
              <w:rPr>
                <w:rFonts w:ascii="Calibri" w:cs="Calibri" w:eastAsia="Calibri" w:hAnsi="Calibri"/>
                <w:b/>
                <w:bCs/>
                <w:color w:val="FFFFFF"/>
                <w:sz w:val="16"/>
                <w:szCs w:val="16"/>
              </w:rPr>
              <w:t xml:space="preserve">Écarté</w:t>
            </w:r>
          </w:p>
        </w:tc>
      </w:tr>
      <w:tr>
        <w:tc>
          <w:tcPr>
            <w:tcW w:type="dxa" w:w="1700"/>
            <w:tcMar>
              <w:top w:type="dxa" w:w="50"/>
              <w:left w:type="dxa" w:w="80"/>
              <w:bottom w:type="dxa" w:w="50"/>
              <w:right w:type="dxa" w:w="80"/>
            </w:tcMar>
            <w:vAlign w:val="center"/>
          </w:tcPr>
          <w:p>
            <w:pPr>
              <w:spacing w:after="0"/>
            </w:pPr>
            <w:r>
              <w:rPr>
                <w:rFonts w:ascii="Calibri" w:cs="Calibri" w:eastAsia="Calibri" w:hAnsi="Calibri"/>
                <w:sz w:val="16"/>
                <w:szCs w:val="16"/>
              </w:rPr>
              <w:t xml:space="preserve">M1</w:t>
            </w:r>
          </w:p>
        </w:tc>
        <w:tc>
          <w:tcPr>
            <w:tcW w:type="dxa" w:w="3200"/>
            <w:tcMar>
              <w:top w:type="dxa" w:w="50"/>
              <w:left w:type="dxa" w:w="80"/>
              <w:bottom w:type="dxa" w:w="50"/>
              <w:right w:type="dxa" w:w="80"/>
            </w:tcMar>
            <w:vAlign w:val="center"/>
          </w:tcPr>
          <w:p>
            <w:pPr>
              <w:spacing w:after="0"/>
            </w:pPr>
            <w:r>
              <w:rPr>
                <w:rFonts w:ascii="Calibri" w:cs="Calibri" w:eastAsia="Calibri" w:hAnsi="Calibri"/>
                <w:sz w:val="16"/>
                <w:szCs w:val="16"/>
              </w:rPr>
              <w:t xml:space="preserve">Microsoft 365 Copilot (si stack M365) ou Google Gemini for Workspace (si stack Google) ; RAG propriétaire à moyen terme</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Notion AI Business ; Claude Pro individuel en attendant le seuil Enterprise</w:t>
            </w:r>
          </w:p>
        </w:tc>
        <w:tc>
          <w:tcPr>
            <w:tcW w:type="dxa" w:w="2766"/>
            <w:tcMar>
              <w:top w:type="dxa" w:w="50"/>
              <w:left w:type="dxa" w:w="80"/>
              <w:bottom w:type="dxa" w:w="50"/>
              <w:right w:type="dxa" w:w="80"/>
            </w:tcMar>
            <w:vAlign w:val="center"/>
          </w:tcPr>
          <w:p>
            <w:pPr>
              <w:spacing w:after="0"/>
            </w:pPr>
            <w:r>
              <w:rPr>
                <w:rFonts w:ascii="Calibri" w:cs="Calibri" w:eastAsia="Calibri" w:hAnsi="Calibri"/>
                <w:sz w:val="16"/>
                <w:szCs w:val="16"/>
              </w:rPr>
              <w:t xml:space="preserve">Glean ; ChatGPT Enterprise (seuils de sièges disproportionnés)</w:t>
            </w:r>
          </w:p>
        </w:tc>
      </w:tr>
      <w:tr>
        <w:tc>
          <w:tcPr>
            <w:tcW w:type="dxa" w:w="17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M2</w:t>
            </w:r>
          </w:p>
        </w:tc>
        <w:tc>
          <w:tcPr>
            <w:tcW w:type="dxa" w:w="32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Crunchbase Pro (court terme) ; PitchBook et Hebbia (scénario Ambitieux) ; Claude Enterprise/API ; n8n/Make</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Preqin/eFront ; Rogo (à challenger en devis)</w:t>
            </w:r>
          </w:p>
        </w:tc>
        <w:tc>
          <w:tcPr>
            <w:tcW w:type="dxa" w:w="27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CB Insights</w:t>
            </w:r>
          </w:p>
        </w:tc>
      </w:tr>
      <w:tr>
        <w:tc>
          <w:tcPr>
            <w:tcW w:type="dxa" w:w="1700"/>
            <w:tcMar>
              <w:top w:type="dxa" w:w="50"/>
              <w:left w:type="dxa" w:w="80"/>
              <w:bottom w:type="dxa" w:w="50"/>
              <w:right w:type="dxa" w:w="80"/>
            </w:tcMar>
            <w:vAlign w:val="center"/>
          </w:tcPr>
          <w:p>
            <w:pPr>
              <w:spacing w:after="0"/>
            </w:pPr>
            <w:r>
              <w:rPr>
                <w:rFonts w:ascii="Calibri" w:cs="Calibri" w:eastAsia="Calibri" w:hAnsi="Calibri"/>
                <w:sz w:val="16"/>
                <w:szCs w:val="16"/>
              </w:rPr>
              <w:t xml:space="preserve">M3</w:t>
            </w:r>
          </w:p>
        </w:tc>
        <w:tc>
          <w:tcPr>
            <w:tcW w:type="dxa" w:w="3200"/>
            <w:tcMar>
              <w:top w:type="dxa" w:w="50"/>
              <w:left w:type="dxa" w:w="80"/>
              <w:bottom w:type="dxa" w:w="50"/>
              <w:right w:type="dxa" w:w="80"/>
            </w:tcMar>
            <w:vAlign w:val="center"/>
          </w:tcPr>
          <w:p>
            <w:pPr>
              <w:spacing w:after="0"/>
            </w:pPr>
            <w:r>
              <w:rPr>
                <w:rFonts w:ascii="Calibri" w:cs="Calibri" w:eastAsia="Calibri" w:hAnsi="Calibri"/>
                <w:sz w:val="16"/>
                <w:szCs w:val="16"/>
              </w:rPr>
              <w:t xml:space="preserve">Airtable + Make/n8n (Frugal/Intermédiaire) ; Power BI ; Canoe Intelligence (scénario Ambitieux/Hybride)</w:t>
            </w:r>
          </w:p>
        </w:tc>
        <w:tc>
          <w:tcPr>
            <w:tcW w:type="dxa" w:w="2800"/>
            <w:tcMar>
              <w:top w:type="dxa" w:w="50"/>
              <w:left w:type="dxa" w:w="80"/>
              <w:bottom w:type="dxa" w:w="50"/>
              <w:right w:type="dxa" w:w="80"/>
            </w:tcMar>
            <w:vAlign w:val="center"/>
          </w:tcPr>
          <w:p>
            <w:pPr>
              <w:spacing w:after="0"/>
            </w:pPr>
            <w:r>
              <w:rPr>
                <w:rFonts w:ascii="Calibri" w:cs="Calibri" w:eastAsia="Calibri" w:hAnsi="Calibri"/>
                <w:sz w:val="16"/>
                <w:szCs w:val="16"/>
              </w:rPr>
              <w:t xml:space="preserve">Vestberry ; Chronograph</w:t>
            </w:r>
          </w:p>
        </w:tc>
        <w:tc>
          <w:tcPr>
            <w:tcW w:type="dxa" w:w="2766"/>
            <w:tcMar>
              <w:top w:type="dxa" w:w="50"/>
              <w:left w:type="dxa" w:w="80"/>
              <w:bottom w:type="dxa" w:w="50"/>
              <w:right w:type="dxa" w:w="80"/>
            </w:tcMar>
            <w:vAlign w:val="center"/>
          </w:tcPr>
          <w:p>
            <w:pPr>
              <w:spacing w:after="0"/>
            </w:pPr>
            <w:r>
              <w:rPr>
                <w:rFonts w:ascii="Calibri" w:cs="Calibri" w:eastAsia="Calibri" w:hAnsi="Calibri"/>
                <w:sz w:val="16"/>
                <w:szCs w:val="16"/>
              </w:rPr>
              <w:t xml:space="preserve">Allvue Systems ; Dynamo Software (suites surdimensionnées)</w:t>
            </w:r>
          </w:p>
        </w:tc>
      </w:tr>
      <w:tr>
        <w:tc>
          <w:tcPr>
            <w:tcW w:type="dxa" w:w="17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Architecture globale</w:t>
            </w:r>
          </w:p>
        </w:tc>
        <w:tc>
          <w:tcPr>
            <w:tcW w:type="dxa" w:w="32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D — Hybride séquencé</w:t>
            </w:r>
          </w:p>
        </w:tc>
        <w:tc>
          <w:tcPr>
            <w:tcW w:type="dxa" w:w="2800"/>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C — Développement sur mesure (cible à 12-18 mois)</w:t>
            </w:r>
          </w:p>
        </w:tc>
        <w:tc>
          <w:tcPr>
            <w:tcW w:type="dxa" w:w="2766"/>
            <w:shd w:fill="F2F4F7" w:val="clear"/>
            <w:tcMar>
              <w:top w:type="dxa" w:w="50"/>
              <w:left w:type="dxa" w:w="80"/>
              <w:bottom w:type="dxa" w:w="50"/>
              <w:right w:type="dxa" w:w="80"/>
            </w:tcMar>
            <w:vAlign w:val="center"/>
          </w:tcPr>
          <w:p>
            <w:pPr>
              <w:spacing w:after="0"/>
            </w:pPr>
            <w:r>
              <w:rPr>
                <w:rFonts w:ascii="Calibri" w:cs="Calibri" w:eastAsia="Calibri" w:hAnsi="Calibri"/>
                <w:sz w:val="16"/>
                <w:szCs w:val="16"/>
              </w:rPr>
              <w:t xml:space="preserve">A seul et B seul (ni l'un ni l'autre ne suffit isolément)</w:t>
            </w:r>
          </w:p>
        </w:tc>
      </w:tr>
    </w:tbl>
    <w:p>
      <w:pPr>
        <w:spacing w:after="100" w:before="60" w:line="276"/>
      </w:pPr>
      <w:r>
        <w:rPr>
          <w:rFonts w:ascii="Calibri" w:cs="Calibri" w:eastAsia="Calibri" w:hAnsi="Calibri"/>
          <w:b/>
          <w:bCs/>
          <w:i/>
          <w:iCs/>
          <w:color w:val="2E5266"/>
          <w:sz w:val="18"/>
          <w:szCs w:val="18"/>
        </w:rPr>
        <w:t xml:space="preserve">Tableau 11 — Matrice de comparaison complète</w:t>
      </w:r>
    </w:p>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F98"/>
        <w:sz w:val="15"/>
        <w:szCs w:val="15"/>
      </w:rPr>
      <w:t xml:space="preserve">Confidentiel — usage interne — Page </w:t>
    </w:r>
    <w:r>
      <w:rPr>
        <w:rFonts w:ascii="Calibri" w:cs="Calibri" w:eastAsia="Calibri" w:hAnsi="Calibri"/>
        <w:color w:val="8A8F98"/>
        <w:sz w:val="15"/>
        <w:szCs w:val="15"/>
      </w:rPr>
      <w:fldChar w:fldCharType="begin"/>
      <w:instrText xml:space="preserve">PAGE</w:instrText>
      <w:fldChar w:fldCharType="separate"/>
      <w:fldChar w:fldCharType="end"/>
    </w:r>
    <w:r>
      <w:rPr>
        <w:rFonts w:ascii="Calibri" w:cs="Calibri" w:eastAsia="Calibri" w:hAnsi="Calibri"/>
        <w:color w:val="8A8F98"/>
        <w:sz w:val="15"/>
        <w:szCs w:val="15"/>
      </w:rPr>
      <w:t xml:space="preserve"> / </w:t>
    </w:r>
    <w:r>
      <w:rPr>
        <w:rFonts w:ascii="Calibri" w:cs="Calibri" w:eastAsia="Calibri" w:hAnsi="Calibri"/>
        <w:color w:val="8A8F9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A8F98"/>
        <w:sz w:val="15"/>
        <w:szCs w:val="15"/>
      </w:rPr>
      <w:t xml:space="preserve">Juniclair — Capital Innovation — IA &amp; Data : étude Build vs Buy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2026-07-26T17:42:50.924Z</dcterms:created>
  <dcterms:modified xsi:type="dcterms:W3CDTF">2026-07-26T17:42:50.926Z</dcterms:modified>
</cp:coreProperties>
</file>

<file path=docProps/custom.xml><?xml version="1.0" encoding="utf-8"?>
<Properties xmlns="http://schemas.openxmlformats.org/officeDocument/2006/custom-properties" xmlns:vt="http://schemas.openxmlformats.org/officeDocument/2006/docPropsVTypes"/>
</file>