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Lines/>
        <w:keepNext/>
        <w:spacing w:before="0" w:after="120" w:line="240" w:lineRule="auto"/>
        <w:jc w:val="center"/>
      </w:pPr>
      <w:r>
        <w:rPr>
          <w:rFonts w:ascii="Times New Roman" w:hAnsi="Times New Roman"/>
          <w:b/>
          <w:sz w:val="28"/>
        </w:rPr>
        <w:t xml:space="preserve">STATEMENT OF WORK</w:t>
      </w:r>
    </w:p>
    <w:p>
      <w:pPr>
        <w:keepLines/>
        <w:spacing w:before="0" w:after="80" w:line="240" w:lineRule="auto"/>
      </w:pPr>
      <w:r>
        <w:rPr>
          <w:rFonts w:ascii="Times New Roman" w:hAnsi="Times New Roman"/>
          <w:sz w:val="18"/>
        </w:rPr>
        <w:t xml:space="preserve">SOW-2026-00001 | Revision 1 | PM review</w:t>
      </w:r>
    </w:p>
    <w:p>
      <w:pPr>
        <w:keepLines/>
        <w:spacing w:before="0" w:after="80" w:line="240" w:lineRule="auto"/>
      </w:pPr>
      <w:r>
        <w:rPr>
          <w:rFonts w:ascii="Times New Roman" w:hAnsi="Times New Roman"/>
          <w:i/>
          <w:sz w:val="18"/>
        </w:rPr>
        <w:t xml:space="preserve">DEMONSTRATION ONLY — synthetic data; generic clauses require legal review.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Vendor: Northstar Services (synthetic)</w:t>
        <w:br/>
        <w:t xml:space="preserve">Customer: Maple Demo Corporation (synthetic)</w:t>
      </w:r>
    </w:p>
    <w:p>
      <w:pPr>
        <w:keepLines/>
        <w:keepNext/>
        <w:spacing w:before="200" w:after="120" w:line="240" w:lineRule="auto"/>
      </w:pPr>
      <w:r>
        <w:rPr>
          <w:rFonts w:ascii="Times New Roman" w:hAnsi="Times New Roman"/>
          <w:b/>
          <w:sz w:val="24"/>
        </w:rPr>
        <w:t xml:space="preserve">E1.0 Engagement scope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E1.1 Project name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Customer operations reporting redesign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E1.2 Engagement summary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Redesign the customer's operations reporting and provide a consistent review and handover process.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E1.3 Budget and price assumptions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CAD 75,000.00</w:t>
        <w:br/>
        <w:t xml:space="preserve">Synthetic fixed professional-services value. Tax treatment and any expenses require agreement before signature; no separate licensing or hardware is included.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E1.4 Intended outcomes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Provide consistent monthly reporting, agreed metric definitions and a documented process the customer can operate after handover.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E1.5 Context, deliverables and boundaries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Context: Synthetic scenario: operational reports are maintained in separate spreadsheets, creating inconsistent definitions and review effort.</w:t>
        <w:br/>
        <w:t xml:space="preserve"/>
        <w:br/>
        <w:t xml:space="preserve">Map current reporting, define a shared data model, create dashboards, and deliver operating guidance. Excludes ongoing managed services and new licensing.</w:t>
      </w:r>
    </w:p>
    <w:p>
      <w:pPr>
        <w:keepLines/>
        <w:keepNext/>
        <w:spacing w:before="200" w:after="120" w:line="240" w:lineRule="auto"/>
      </w:pPr>
      <w:r>
        <w:rPr>
          <w:rFonts w:ascii="Times New Roman" w:hAnsi="Times New Roman"/>
          <w:b/>
          <w:sz w:val="24"/>
        </w:rPr>
        <w:t xml:space="preserve">E2.0 Delivery requirements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Required activities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Consolidate monthly operational reporting and standardize the PM review process.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E2.1 Delivery work breakdown</w:t>
      </w:r>
    </w:p>
    <w:tbl>
      <w:tblPr>
        <w:tblW w:w="8640" w:type="dxa"/>
        <w:tblLayout w:type="fixed"/>
        <w:tblBorders>
          <w:top w:val="single" w:sz="4" w:color="555555"/>
          <w:left w:val="single" w:sz="4" w:color="555555"/>
          <w:bottom w:val="single" w:sz="4" w:color="555555"/>
          <w:right w:val="single" w:sz="4" w:color="555555"/>
          <w:insideH w:val="single" w:sz="4" w:color="555555"/>
          <w:insideV w:val="single" w:sz="4" w:color="555555"/>
        </w:tblBorders>
        <w:tblCellMar>
          <w:top w:w="80" w:type="dxa"/>
          <w:left w:w="90" w:type="dxa"/>
          <w:bottom w:w="80" w:type="dxa"/>
          <w:right w:w="90" w:type="dxa"/>
        </w:tblCellMar>
      </w:tblPr>
      <w:tblGrid>
        <w:gridCol w:w="1296"/>
        <w:gridCol w:w="2304"/>
        <w:gridCol w:w="1224"/>
        <w:gridCol w:w="1512"/>
        <w:gridCol w:w="1296"/>
        <w:gridCol w:w="1008"/>
      </w:tblGrid>
      <w:tr>
        <w:trPr>
          <w:cantSplit/>
          <w:tblHeader/>
        </w:trPr>
        <w:tc>
          <w:tcPr>
            <w:tcW w:w="1296" w:type="dxa"/>
            <w:shd w:fill="EEEEEE"/>
          </w:tcPr>
          <w:p>
            <w:pPr>
              <w:keepLines/>
              <w:keepNext/>
              <w:spacing w:before="0" w:after="12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Work item</w:t>
            </w:r>
          </w:p>
        </w:tc>
        <w:tc>
          <w:tcPr>
            <w:tcW w:w="2304" w:type="dxa"/>
            <w:shd w:fill="EEEEEE"/>
          </w:tcPr>
          <w:p>
            <w:pPr>
              <w:keepLines/>
              <w:keepNext/>
              <w:spacing w:before="0" w:after="12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Deliverable / checkpoint</w:t>
            </w:r>
          </w:p>
        </w:tc>
        <w:tc>
          <w:tcPr>
            <w:tcW w:w="1224" w:type="dxa"/>
            <w:shd w:fill="EEEEEE"/>
          </w:tcPr>
          <w:p>
            <w:pPr>
              <w:keepLines/>
              <w:keepNext/>
              <w:spacing w:before="0" w:after="12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Vendor effort</w:t>
            </w:r>
          </w:p>
        </w:tc>
        <w:tc>
          <w:tcPr>
            <w:tcW w:w="1512" w:type="dxa"/>
            <w:shd w:fill="EEEEEE"/>
          </w:tcPr>
          <w:p>
            <w:pPr>
              <w:keepLines/>
              <w:keepNext/>
              <w:spacing w:before="0" w:after="12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Customer review</w:t>
            </w:r>
          </w:p>
        </w:tc>
        <w:tc>
          <w:tcPr>
            <w:tcW w:w="1296" w:type="dxa"/>
            <w:shd w:fill="EEEEEE"/>
          </w:tcPr>
          <w:p>
            <w:pPr>
              <w:keepLines/>
              <w:keepNext/>
              <w:spacing w:before="0" w:after="12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Payment basis</w:t>
            </w:r>
          </w:p>
        </w:tc>
        <w:tc>
          <w:tcPr>
            <w:tcW w:w="1008" w:type="dxa"/>
            <w:shd w:fill="EEEEEE"/>
          </w:tcPr>
          <w:p>
            <w:pPr>
              <w:keepLines/>
              <w:keepNext/>
              <w:spacing w:before="0" w:after="120" w:line="240" w:lineRule="auto"/>
            </w:pPr>
            <w:r>
              <w:rPr>
                <w:rFonts w:ascii="Times New Roman" w:hAnsi="Times New Roman"/>
                <w:b/>
                <w:sz w:val="18"/>
              </w:rPr>
              <w:t xml:space="preserve">Planned date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Work item 1</w:t>
            </w:r>
          </w:p>
        </w:tc>
        <w:tc>
          <w:tcPr>
            <w:tcW w:w="2304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requirements and design signed off</w:t>
            </w:r>
          </w:p>
        </w:tc>
        <w:tc>
          <w:tcPr>
            <w:tcW w:w="1224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Allocation not provided</w:t>
            </w:r>
          </w:p>
        </w:tc>
        <w:tc>
          <w:tcPr>
            <w:tcW w:w="1512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Alex Morgan; see E2.4</w:t>
            </w:r>
          </w:p>
        </w:tc>
        <w:tc>
          <w:tcPr>
            <w:tcW w:w="1296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Not provided</w:t>
            </w:r>
          </w:p>
        </w:tc>
        <w:tc>
          <w:tcPr>
            <w:tcW w:w="1008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2026-11-20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Work item 2</w:t>
            </w:r>
          </w:p>
        </w:tc>
        <w:tc>
          <w:tcPr>
            <w:tcW w:w="2304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reporting prototype delivered</w:t>
            </w:r>
          </w:p>
        </w:tc>
        <w:tc>
          <w:tcPr>
            <w:tcW w:w="1224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Allocation not provided</w:t>
            </w:r>
          </w:p>
        </w:tc>
        <w:tc>
          <w:tcPr>
            <w:tcW w:w="1512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Alex Morgan; see E2.4</w:t>
            </w:r>
          </w:p>
        </w:tc>
        <w:tc>
          <w:tcPr>
            <w:tcW w:w="1296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Not provided</w:t>
            </w:r>
          </w:p>
        </w:tc>
        <w:tc>
          <w:tcPr>
            <w:tcW w:w="1008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2026-12-18</w:t>
            </w:r>
          </w:p>
        </w:tc>
      </w:tr>
      <w:tr>
        <w:trPr>
          <w:cantSplit/>
        </w:trPr>
        <w:tc>
          <w:tcPr>
            <w:tcW w:w="1296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Work item 3</w:t>
            </w:r>
          </w:p>
        </w:tc>
        <w:tc>
          <w:tcPr>
            <w:tcW w:w="2304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acceptance review and handover</w:t>
            </w:r>
          </w:p>
        </w:tc>
        <w:tc>
          <w:tcPr>
            <w:tcW w:w="1224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Allocation not provided</w:t>
            </w:r>
          </w:p>
        </w:tc>
        <w:tc>
          <w:tcPr>
            <w:tcW w:w="1512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Alex Morgan; see E2.4</w:t>
            </w:r>
          </w:p>
        </w:tc>
        <w:tc>
          <w:tcPr>
            <w:tcW w:w="1296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Not provided</w:t>
            </w:r>
          </w:p>
        </w:tc>
        <w:tc>
          <w:tcPr>
            <w:tcW w:w="1008" w:type="dxa"/>
          </w:tcPr>
          <w:p>
            <w:pPr>
              <w:keepLines/>
              <w:spacing w:before="0" w:after="120" w:line="240" w:lineRule="auto"/>
            </w:pPr>
            <w:r>
              <w:rPr>
                <w:rFonts w:ascii="Times New Roman" w:hAnsi="Times New Roman"/>
                <w:sz w:val="18"/>
              </w:rPr>
              <w:t xml:space="preserve">2027-01-29</w:t>
            </w:r>
          </w:p>
        </w:tc>
      </w:tr>
    </w:tbl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Total engagement effort: 240 hours of professional services</w:t>
        <w:br/>
        <w:t xml:space="preserve">Milestones and timelines as entered:</w:t>
        <w:br/>
        <w:t xml:space="preserve">2026-11-20: requirements and design signed off</w:t>
        <w:br/>
        <w:t xml:space="preserve">2026-12-18: reporting prototype delivered</w:t>
        <w:br/>
        <w:t xml:space="preserve">2027-01-29: acceptance review and handover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E2.2 Delivery quality measures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All agreed reports reconcile with the validated source dataset. Customer focal point confirms the acceptance checklist and receives handover materials.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E2.3 Working environment and dependencies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Synthetic reporting workspace using customer-provided sample exports; no production-system access is included.</w:t>
        <w:br/>
        <w:t xml:space="preserve">Third party: No | Additional vendor: No | Hardware: No | Software: No</w:t>
        <w:br/>
        <w:t xml:space="preserve">No external dependencies declared.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E2.4 Review and acceptance approach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Success criteria:</w:t>
        <w:br/>
        <w:t xml:space="preserve">All agreed reports reconcile with the validated source dataset. Customer focal point confirms the acceptance checklist and receives handover materials.</w:t>
        <w:br/>
        <w:t xml:space="preserve"/>
        <w:br/>
        <w:t xml:space="preserve">Customer reviewer: Alex Morgan &lt;alex.morgan@example.com&gt;. Customer reviews deliverables against the stated success criteria. Acceptance timing and remediation terms must be agreed by both parties before signature.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E2.5 Progress communications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Proposed demo cadence: weekly status update covering deliverables, upcoming milestones, blockers and decisions required.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E2.6 Oversight and decision controls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PM: Maya Chen &lt;maya.chen@example.com&gt;.</w:t>
        <w:br/>
        <w:t xml:space="preserve">Internal approval sequence: Contract Manager → Finance Director.</w:t>
        <w:br/>
        <w:t xml:space="preserve">Proposed demo approach: PM coordinates weekly progress review. Scope and budget changes are recorded and escalated to the contract manager before execution.</w:t>
        <w:br/>
        <w:t xml:space="preserve">Rejections return to the PM for revision and renewed review. Every required internal approval restarts for the revised submission.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E2.7 Handling changes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Changes to scope, fees, deliverables or schedule require written agreement by both parties and renewed internal approval where applicable.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E2.8 Rights in project outputs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Ownership and use rights are to be agreed in the reviewed contract or applicable master agreement. No ownership assignment is implied by this demo.</w:t>
      </w:r>
    </w:p>
    <w:p>
      <w:pPr>
        <w:keepLines/>
        <w:keepNext/>
        <w:spacing w:before="200" w:after="120" w:line="240" w:lineRule="auto"/>
      </w:pPr>
      <w:r>
        <w:rPr>
          <w:rFonts w:ascii="Times New Roman" w:hAnsi="Times New Roman"/>
          <w:b/>
          <w:sz w:val="24"/>
        </w:rPr>
        <w:t xml:space="preserve">E3.0 Engagement conditions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E3.1 Contacts and accountable parties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Project manager: Maya Chen &lt;maya.chen@example.com&gt;</w:t>
        <w:br/>
        <w:t xml:space="preserve">Vendor focal point: Daniel Brooks &lt;daniel.brooks@example.com&gt;</w:t>
        <w:br/>
        <w:t xml:space="preserve">Customer focal point: Alex Morgan &lt;alex.morgan@example.com&gt;</w:t>
        <w:br/>
        <w:t xml:space="preserve">Contract administration / invoice contact: Not provided — PM to confirm before signature.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E3.2 Customer support responsibilities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DEMO CLAUSE: Customer provides agreed access, relevant information and a focal point for deliverable review. Specific obligations and response times require agreement.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E3.3 Vendor delivery responsibilities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DEMO CLAUSE: Vendor delivers the agreed scope and milestones, raises blockers with the PM and protects confidential information. Specific obligations require agreement.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E3.4 Delivery location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Remote delivery; customer review and handover by video meeting.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E3.5 Working language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English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E3.6 Permits and other special conditions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Not provided — PM to confirm before signature.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E3.7 Information safeguards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Each party protects confidential information and uses it only for this engagement. Privacy, security and data-processing requirements must be agreed before signature.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E3.8 Insurance arrangements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Not provided — PM to confirm before signature.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E3.9 Travel, expenses and payment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Travel required: No</w:t>
        <w:br/>
        <w:t xml:space="preserve">No travel planned; remote delivery. No travel expenses included.</w:t>
        <w:br/>
        <w:t xml:space="preserve">Fees are stated in the selected currency. Taxes, invoicing schedule, payment terms and approved expenses must be agreed before signature.</w:t>
      </w:r>
    </w:p>
    <w:p>
      <w:pPr>
        <w:keepLines/>
        <w:spacing w:before="0" w:after="80" w:line="240" w:lineRule="auto"/>
      </w:pPr>
      <w:r>
        <w:rPr>
          <w:rFonts w:ascii="Times New Roman" w:hAnsi="Times New Roman"/>
          <w:i/>
          <w:sz w:val="18"/>
        </w:rPr>
        <w:t xml:space="preserve">Additional demo contract placeholder: Intellectual property, warranties, liability, termination, dispute resolution and governing law must be settled in an applicable master agreement or reviewed contract. This demonstration does not supply those terms.</w:t>
      </w:r>
    </w:p>
    <w:p>
      <w:pPr>
        <w:keepLines/>
        <w:keepNext/>
        <w:spacing w:before="200" w:after="120" w:line="240" w:lineRule="auto"/>
      </w:pPr>
      <w:r>
        <w:rPr>
          <w:rFonts w:ascii="Times New Roman" w:hAnsi="Times New Roman"/>
          <w:b/>
          <w:sz w:val="24"/>
        </w:rPr>
        <w:t xml:space="preserve">E4.0 Timing and capacity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E4.1 Engagement dates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Start date: 2026-11-02</w:t>
        <w:br/>
        <w:t xml:space="preserve">End date: 2027-01-29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E4.2 Timeline and effort allocation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Total quantity / effort: 240 hours of professional services</w:t>
        <w:br/>
        <w:t xml:space="preserve">2026-11-20: requirements and design signed off</w:t>
        <w:br/>
        <w:t xml:space="preserve">2026-12-18: reporting prototype delivered</w:t>
        <w:br/>
        <w:t xml:space="preserve">2027-01-29: acceptance review and handover</w:t>
        <w:br/>
        <w:t xml:space="preserve">See E2.1 for work breakdown. Per-work-item effort and payment allocation require confirmation.</w:t>
      </w:r>
    </w:p>
    <w:p>
      <w:pPr>
        <w:keepLines/>
        <w:keepNext/>
        <w:spacing w:before="200" w:after="120" w:line="240" w:lineRule="auto"/>
      </w:pPr>
      <w:r>
        <w:rPr>
          <w:rFonts w:ascii="Times New Roman" w:hAnsi="Times New Roman"/>
          <w:b/>
          <w:sz w:val="24"/>
        </w:rPr>
        <w:t xml:space="preserve">E5.0 Staffing and expertise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E5.1 Required delivery roles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Vendor project lead and reporting specialist; combined planned effort is 240 hours. Individual allocations require confirmation.</w:t>
      </w:r>
    </w:p>
    <w:p>
      <w:pPr>
        <w:keepLines/>
        <w:keepNext/>
        <w:spacing w:before="200" w:after="120" w:line="240" w:lineRule="auto"/>
      </w:pPr>
      <w:r>
        <w:rPr>
          <w:rFonts w:ascii="Times New Roman" w:hAnsi="Times New Roman"/>
          <w:b/>
          <w:sz w:val="24"/>
        </w:rPr>
        <w:t xml:space="preserve">E6.0 Supporting material and execution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E6.1 Reference materials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Synthetic materials: agreed requirements checklist, reporting metric definitions and acceptance checklist. References only; no documents are attached.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E6.2 Terminology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SOW: statement of work. PM: project manager. Vendor: Northstar Services (synthetic). Customer: Maple Demo Corporation (synthetic).</w:t>
      </w:r>
    </w:p>
    <w:p>
      <w:pPr>
        <w:keepLines/>
        <w:keepNext/>
        <w:spacing w:before="120" w:after="120" w:line="240" w:lineRule="auto"/>
      </w:pPr>
      <w:r>
        <w:rPr>
          <w:rFonts w:ascii="Times New Roman" w:hAnsi="Times New Roman"/>
          <w:b/>
          <w:sz w:val="24"/>
        </w:rPr>
        <w:t xml:space="preserve">E6.3 Authorized signatures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Vendor and customer signatories review the final agreed version before signing. Internal approval does not constitute signature.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Vendor authorized signatory: ____________________</w:t>
        <w:br/>
        <w:t xml:space="preserve">Organization: Northstar Services (synthetic)</w:t>
        <w:br/>
        <w:t xml:space="preserve">Name / Title: ____________________</w:t>
        <w:br/>
        <w:t xml:space="preserve">Signature: ____________________  Date: ____________________</w:t>
      </w:r>
    </w:p>
    <w:p>
      <w:pPr>
        <w:keepLines/>
        <w:spacing w:before="0" w:after="120" w:line="240" w:lineRule="auto"/>
      </w:pPr>
      <w:r>
        <w:rPr>
          <w:rFonts w:ascii="Times New Roman" w:hAnsi="Times New Roman"/>
          <w:sz w:val="22"/>
        </w:rPr>
        <w:t xml:space="preserve">Customer authorized signatory: ____________________</w:t>
        <w:br/>
        <w:t xml:space="preserve">Organization: Maple Demo Corporation (synthetic)</w:t>
        <w:br/>
        <w:t xml:space="preserve">Name / Title: ____________________</w:t>
        <w:br/>
        <w:t xml:space="preserve">Signature: ____________________  Date: ____________________</w:t>
      </w:r>
    </w:p>
    <w:sectPr>
      <w:footerReference w:type="default" r:id="rFooter"/>
      <w:pgSz w:w="12240" w:h="15840"/>
      <w:pgMar w:top="1440" w:bottom="1440" w:left="1800" w:right="1800" w:header="720" w:footer="720"/>
    </w:sectPr>
  </w:body>
</w:document>
</file>

<file path=word/footer1.xml><?xml version="1.0" encoding="utf-8"?>
<w:ftr xmlns:w="http://schemas.openxmlformats.org/wordprocessingml/2006/main">
  <w:p>
    <w:pPr>
      <w:keepLines/>
      <w:spacing w:before="0" w:after="80" w:line="240" w:lineRule="auto"/>
    </w:pPr>
    <w:r>
      <w:rPr>
        <w:rFonts w:ascii="Times New Roman" w:hAnsi="Times New Roman"/>
        <w:i/>
        <w:sz w:val="18"/>
      </w:rPr>
      <w:t xml:space="preserve">SOW-2026-00001 | Revision 1 | Portfolio demonstration</w:t>
    </w:r>
  </w:p>
  <w:p>
    <w:pPr>
      <w:jc w:val="right"/>
    </w:pPr>
    <w:r>
      <w:rPr>
        <w:rFonts w:ascii="Times New Roman" w:hAnsi="Times New Roman"/>
        <w:sz w:val="18"/>
      </w:rPr>
      <w:t xml:space="preserve">Page </w:t>
    </w:r>
    <w:fldSimple w:instr="PAGE"/>
  </w:p>
</w:ftr>
</file>

<file path=word/_rels/document.xml.rels><?xml version="1.0" encoding="UTF-8"?><Relationships xmlns="http://schemas.openxmlformats.org/package/2006/relationships"><Relationship Id="rFooter" Type="http://schemas.openxmlformats.org/officeDocument/2006/relationships/footer" Target="footer1.xml"/></Relationships>
</file>