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2E5E9E"/>
          <w:sz w:val="60"/>
        </w:rPr>
        <w:t>Log Management</w:t>
      </w:r>
    </w:p>
    <w:p>
      <w:pPr>
        <w:jc w:val="center"/>
      </w:pPr>
      <w:r>
        <w:rPr>
          <w:color w:val="1F2A37"/>
          <w:sz w:val="32"/>
        </w:rPr>
        <w:t>Platform Logging Standard</w:t>
      </w:r>
    </w:p>
    <w:p>
      <w:pPr>
        <w:jc w:val="center"/>
      </w:pPr>
      <w:r>
        <w:rPr>
          <w:i/>
          <w:sz w:val="22"/>
        </w:rPr>
        <w:t>Reference implementation: accounting microservice (server-accounting)</w:t>
      </w:r>
    </w:p>
    <w:p>
      <w:pPr>
        <w:jc w:val="center"/>
      </w:pPr>
      <w:r>
        <w:rPr>
          <w:color w:val="666666"/>
          <w:sz w:val="20"/>
        </w:rPr>
        <w:t>Version 1.0  |  2026-07-01</w:t>
      </w:r>
    </w:p>
    <w:p>
      <w:r>
        <w:br w:type="page"/>
      </w:r>
    </w:p>
    <w:p>
      <w:pPr>
        <w:pStyle w:val="Heading1"/>
      </w:pPr>
      <w:r>
        <w:t>1. Purpose</w:t>
      </w:r>
    </w:p>
    <w:p>
      <w:r>
        <w:t>This document defines the logging standard applied across services in this platform: what gets logged, in what format, at what level, where it is stored, and for how long. It uses generic, technology-neutral terminology so it can be applied to any service, and cites this repository's accounting microservice as the reference implementation of each rule.</w:t>
      </w:r>
    </w:p>
    <w:p>
      <w:pPr>
        <w:pStyle w:val="Heading1"/>
      </w:pPr>
      <w:r>
        <w:t>2. Principles</w:t>
      </w:r>
    </w:p>
    <w:p>
      <w:pPr>
        <w:pStyle w:val="ListBullet"/>
      </w:pPr>
      <w:r>
        <w:rPr>
          <w:b/>
        </w:rPr>
        <w:t>Structured, not free-text.</w:t>
      </w:r>
      <w:r>
        <w:t xml:space="preserve"> Every log line carries the same fixed set of fields so it can be parsed, filtered, and correlated mechanically rather than read one line at a time.</w:t>
      </w:r>
    </w:p>
    <w:p>
      <w:pPr>
        <w:pStyle w:val="ListBullet"/>
      </w:pPr>
      <w:r>
        <w:rPr>
          <w:b/>
        </w:rPr>
        <w:t>Correlatable across boundaries.</w:t>
      </w:r>
      <w:r>
        <w:t xml:space="preserve"> A single unit of work (a request, a queued message, an external callback) must be traceable through every component it touches via one shared identifier.</w:t>
      </w:r>
    </w:p>
    <w:p>
      <w:pPr>
        <w:pStyle w:val="ListBullet"/>
      </w:pPr>
      <w:r>
        <w:rPr>
          <w:b/>
        </w:rPr>
        <w:t>Cheap on the hot path.</w:t>
      </w:r>
      <w:r>
        <w:t xml:space="preserve"> Logging must not become a throughput bottleneck or a source of unbounded memory growth under load.</w:t>
      </w:r>
    </w:p>
    <w:p>
      <w:pPr>
        <w:pStyle w:val="ListBullet"/>
      </w:pPr>
      <w:r>
        <w:rPr>
          <w:b/>
        </w:rPr>
        <w:t>No secrets, no sensitive data.</w:t>
      </w:r>
      <w:r>
        <w:t xml:space="preserve"> Log content is treated as something that may be read by a broad set of engineers and shipped to third-party tooling; it must never leak credentials or sensitive personal data.</w:t>
      </w:r>
    </w:p>
    <w:p>
      <w:pPr>
        <w:pStyle w:val="ListBullet"/>
      </w:pPr>
      <w:r>
        <w:rPr>
          <w:b/>
        </w:rPr>
        <w:t>Consistent regardless of destination.</w:t>
      </w:r>
      <w:r>
        <w:t xml:space="preserve"> Console output and on-disk files carry identical structure so tooling doesn't need two parsers.</w:t>
      </w:r>
    </w:p>
    <w:p>
      <w:pPr>
        <w:pStyle w:val="Heading1"/>
      </w:pPr>
      <w:r>
        <w:t>3. Log Format</w:t>
      </w:r>
    </w:p>
    <w:p>
      <w:r>
        <w:t>Each log line is a single-line, structured record with a fixed field order:</w:t>
      </w:r>
    </w:p>
    <w:p>
      <w:pPr>
        <w:ind w:left="432"/>
        <w:shd w:val="clear" w:color="auto" w:fill="F2F2F2"/>
      </w:pPr>
      <w:r>
        <w:rPr>
          <w:rFonts w:ascii="Consolas" w:hAnsi="Consolas"/>
          <w:color w:val="333333"/>
          <w:sz w:val="19"/>
        </w:rPr>
        <w:t>[timestamp] level [logger][thread][correlation-id][actor][entity-id] message</w:t>
      </w:r>
    </w:p>
    <w:p>
      <w:r>
        <w:t>Reference implementation (</w:t>
      </w:r>
      <w:r>
        <w:rPr>
          <w:rFonts w:ascii="Consolas" w:hAnsi="Consolas"/>
          <w:sz w:val="19"/>
        </w:rPr>
        <w:t>quarkus.log.console.format</w:t>
      </w:r>
      <w:r>
        <w:t xml:space="preserve"> / </w:t>
      </w:r>
      <w:r>
        <w:rPr>
          <w:rFonts w:ascii="Consolas" w:hAnsi="Consolas"/>
          <w:sz w:val="19"/>
        </w:rPr>
        <w:t>quarkus.log.file.format</w:t>
      </w:r>
      <w:r>
        <w:t xml:space="preserve"> in </w:t>
      </w:r>
      <w:r>
        <w:rPr>
          <w:rFonts w:ascii="Consolas" w:hAnsi="Consolas"/>
          <w:sz w:val="19"/>
        </w:rPr>
        <w:t>application.yml</w:t>
      </w:r>
      <w:r>
        <w:t>):</w:t>
      </w:r>
    </w:p>
    <w:p>
      <w:pPr>
        <w:ind w:left="432"/>
        <w:shd w:val="clear" w:color="auto" w:fill="F2F2F2"/>
      </w:pPr>
      <w:r>
        <w:rPr>
          <w:rFonts w:ascii="Consolas" w:hAnsi="Consolas"/>
          <w:color w:val="333333"/>
          <w:sz w:val="19"/>
        </w:rPr>
        <w:t>[%d{yyyy-MM-dd'T'HH:mm:ss.SSSZ}] %-5p [%c][%t][%X{traceId}][%X{userName}][%X{sessionId}] %s%e%n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872"/>
            <w:shd w:val="clear" w:color="auto" w:fill="2E5E9E"/>
          </w:tcPr>
          <w:p>
            <w:r/>
            <w:r>
              <w:rPr>
                <w:b/>
                <w:color w:val="FFFFFF"/>
              </w:rPr>
              <w:t>Field</w:t>
            </w:r>
          </w:p>
        </w:tc>
        <w:tc>
          <w:tcPr>
            <w:tcW w:type="dxa" w:w="4608"/>
            <w:shd w:val="clear" w:color="auto" w:fill="2E5E9E"/>
          </w:tcPr>
          <w:p>
            <w:r/>
            <w:r>
              <w:rPr>
                <w:b/>
                <w:color w:val="FFFFFF"/>
              </w:rPr>
              <w:t>Generic meaning</w:t>
            </w:r>
          </w:p>
        </w:tc>
        <w:tc>
          <w:tcPr>
            <w:tcW w:type="dxa" w:w="2592"/>
            <w:shd w:val="clear" w:color="auto" w:fill="2E5E9E"/>
          </w:tcPr>
          <w:p>
            <w:r/>
            <w:r>
              <w:rPr>
                <w:b/>
                <w:color w:val="FFFFFF"/>
              </w:rPr>
              <w:t>Reference field</w:t>
            </w:r>
          </w:p>
        </w:tc>
      </w:tr>
      <w:tr>
        <w:tc>
          <w:tcPr>
            <w:tcW w:type="dxa" w:w="1872"/>
          </w:tcPr>
          <w:p>
            <w:r/>
            <w:r>
              <w:t>timestamp</w:t>
            </w:r>
          </w:p>
        </w:tc>
        <w:tc>
          <w:tcPr>
            <w:tcW w:type="dxa" w:w="4608"/>
          </w:tcPr>
          <w:p>
            <w:r/>
            <w:r>
              <w:t>ISO-8601 timestamp with timezone offset</w:t>
            </w:r>
          </w:p>
        </w:tc>
        <w:tc>
          <w:tcPr>
            <w:tcW w:type="dxa" w:w="2592"/>
          </w:tcPr>
          <w:p>
            <w:r/>
            <w:r>
              <w:rPr>
                <w:rFonts w:ascii="Consolas" w:hAnsi="Consolas"/>
                <w:sz w:val="19"/>
              </w:rPr>
              <w:t>%d{yyyy-MM-dd'T'HH:mm:ss.SSSZ}</w:t>
            </w:r>
          </w:p>
        </w:tc>
      </w:tr>
      <w:tr>
        <w:tc>
          <w:tcPr>
            <w:tcW w:type="dxa" w:w="1872"/>
          </w:tcPr>
          <w:p>
            <w:r/>
            <w:r>
              <w:t>level</w:t>
            </w:r>
          </w:p>
        </w:tc>
        <w:tc>
          <w:tcPr>
            <w:tcW w:type="dxa" w:w="4608"/>
          </w:tcPr>
          <w:p>
            <w:r/>
            <w:r>
              <w:t xml:space="preserve">Severity: </w:t>
            </w:r>
            <w:r>
              <w:rPr>
                <w:rFonts w:ascii="Consolas" w:hAnsi="Consolas"/>
                <w:sz w:val="19"/>
              </w:rPr>
              <w:t>ERROR</w:t>
            </w:r>
            <w:r>
              <w:t xml:space="preserve">, </w:t>
            </w:r>
            <w:r>
              <w:rPr>
                <w:rFonts w:ascii="Consolas" w:hAnsi="Consolas"/>
                <w:sz w:val="19"/>
              </w:rPr>
              <w:t>WARN</w:t>
            </w:r>
            <w:r>
              <w:t xml:space="preserve">, </w:t>
            </w:r>
            <w:r>
              <w:rPr>
                <w:rFonts w:ascii="Consolas" w:hAnsi="Consolas"/>
                <w:sz w:val="19"/>
              </w:rPr>
              <w:t>INFO</w:t>
            </w:r>
            <w:r>
              <w:t xml:space="preserve">, </w:t>
            </w:r>
            <w:r>
              <w:rPr>
                <w:rFonts w:ascii="Consolas" w:hAnsi="Consolas"/>
                <w:sz w:val="19"/>
              </w:rPr>
              <w:t>DEBUG</w:t>
            </w:r>
            <w:r>
              <w:t xml:space="preserve">, </w:t>
            </w:r>
            <w:r>
              <w:rPr>
                <w:rFonts w:ascii="Consolas" w:hAnsi="Consolas"/>
                <w:sz w:val="19"/>
              </w:rPr>
              <w:t>TRACE</w:t>
            </w:r>
          </w:p>
        </w:tc>
        <w:tc>
          <w:tcPr>
            <w:tcW w:type="dxa" w:w="2592"/>
          </w:tcPr>
          <w:p>
            <w:r/>
            <w:r>
              <w:rPr>
                <w:rFonts w:ascii="Consolas" w:hAnsi="Consolas"/>
                <w:sz w:val="19"/>
              </w:rPr>
              <w:t>%-5p</w:t>
            </w:r>
          </w:p>
        </w:tc>
      </w:tr>
      <w:tr>
        <w:tc>
          <w:tcPr>
            <w:tcW w:type="dxa" w:w="1872"/>
          </w:tcPr>
          <w:p>
            <w:r/>
            <w:r>
              <w:t>logger</w:t>
            </w:r>
          </w:p>
        </w:tc>
        <w:tc>
          <w:tcPr>
            <w:tcW w:type="dxa" w:w="4608"/>
          </w:tcPr>
          <w:p>
            <w:r/>
            <w:r>
              <w:t>Fully-qualified name of the emitting component</w:t>
            </w:r>
          </w:p>
        </w:tc>
        <w:tc>
          <w:tcPr>
            <w:tcW w:type="dxa" w:w="2592"/>
          </w:tcPr>
          <w:p>
            <w:r/>
            <w:r>
              <w:rPr>
                <w:rFonts w:ascii="Consolas" w:hAnsi="Consolas"/>
                <w:sz w:val="19"/>
              </w:rPr>
              <w:t>%c</w:t>
            </w:r>
          </w:p>
        </w:tc>
      </w:tr>
      <w:tr>
        <w:tc>
          <w:tcPr>
            <w:tcW w:type="dxa" w:w="1872"/>
          </w:tcPr>
          <w:p>
            <w:r/>
            <w:r>
              <w:t>thread</w:t>
            </w:r>
          </w:p>
        </w:tc>
        <w:tc>
          <w:tcPr>
            <w:tcW w:type="dxa" w:w="4608"/>
          </w:tcPr>
          <w:p>
            <w:r/>
            <w:r>
              <w:t>Executing thread, useful for diagnosing concurrency issues</w:t>
            </w:r>
          </w:p>
        </w:tc>
        <w:tc>
          <w:tcPr>
            <w:tcW w:type="dxa" w:w="2592"/>
          </w:tcPr>
          <w:p>
            <w:r/>
            <w:r>
              <w:rPr>
                <w:rFonts w:ascii="Consolas" w:hAnsi="Consolas"/>
                <w:sz w:val="19"/>
              </w:rPr>
              <w:t>%t</w:t>
            </w:r>
          </w:p>
        </w:tc>
      </w:tr>
      <w:tr>
        <w:tc>
          <w:tcPr>
            <w:tcW w:type="dxa" w:w="1872"/>
          </w:tcPr>
          <w:p>
            <w:r/>
            <w:r>
              <w:t>correlation-id</w:t>
            </w:r>
          </w:p>
        </w:tc>
        <w:tc>
          <w:tcPr>
            <w:tcW w:type="dxa" w:w="4608"/>
          </w:tcPr>
          <w:p>
            <w:r/>
            <w:r>
              <w:t>Identifier shared by every log line belonging to one unit of work</w:t>
            </w:r>
          </w:p>
        </w:tc>
        <w:tc>
          <w:tcPr>
            <w:tcW w:type="dxa" w:w="2592"/>
          </w:tcPr>
          <w:p>
            <w:r/>
            <w:r>
              <w:rPr>
                <w:rFonts w:ascii="Consolas" w:hAnsi="Consolas"/>
                <w:sz w:val="19"/>
              </w:rPr>
              <w:t>%X{traceId}</w:t>
            </w:r>
          </w:p>
        </w:tc>
      </w:tr>
      <w:tr>
        <w:tc>
          <w:tcPr>
            <w:tcW w:type="dxa" w:w="1872"/>
          </w:tcPr>
          <w:p>
            <w:r/>
            <w:r>
              <w:t>actor</w:t>
            </w:r>
          </w:p>
        </w:tc>
        <w:tc>
          <w:tcPr>
            <w:tcW w:type="dxa" w:w="4608"/>
          </w:tcPr>
          <w:p>
            <w:r/>
            <w:r>
              <w:t>The user/subscriber/account the operation is being performed for</w:t>
            </w:r>
          </w:p>
        </w:tc>
        <w:tc>
          <w:tcPr>
            <w:tcW w:type="dxa" w:w="2592"/>
          </w:tcPr>
          <w:p>
            <w:r/>
            <w:r>
              <w:rPr>
                <w:rFonts w:ascii="Consolas" w:hAnsi="Consolas"/>
                <w:sz w:val="19"/>
              </w:rPr>
              <w:t>%X{userName}</w:t>
            </w:r>
          </w:p>
        </w:tc>
      </w:tr>
      <w:tr>
        <w:tc>
          <w:tcPr>
            <w:tcW w:type="dxa" w:w="1872"/>
          </w:tcPr>
          <w:p>
            <w:r/>
            <w:r>
              <w:t>entity-id</w:t>
            </w:r>
          </w:p>
        </w:tc>
        <w:tc>
          <w:tcPr>
            <w:tcW w:type="dxa" w:w="4608"/>
          </w:tcPr>
          <w:p>
            <w:r/>
            <w:r>
              <w:t>The business or session identifier the operation is acting on</w:t>
            </w:r>
          </w:p>
        </w:tc>
        <w:tc>
          <w:tcPr>
            <w:tcW w:type="dxa" w:w="2592"/>
          </w:tcPr>
          <w:p>
            <w:r/>
            <w:r>
              <w:rPr>
                <w:rFonts w:ascii="Consolas" w:hAnsi="Consolas"/>
                <w:sz w:val="19"/>
              </w:rPr>
              <w:t>%X{sessionId}</w:t>
            </w:r>
          </w:p>
        </w:tc>
      </w:tr>
      <w:tr>
        <w:tc>
          <w:tcPr>
            <w:tcW w:type="dxa" w:w="1872"/>
          </w:tcPr>
          <w:p>
            <w:r/>
            <w:r>
              <w:t>message</w:t>
            </w:r>
          </w:p>
        </w:tc>
        <w:tc>
          <w:tcPr>
            <w:tcW w:type="dxa" w:w="4608"/>
          </w:tcPr>
          <w:p>
            <w:r/>
            <w:r>
              <w:t>The human-readable message, plus a rendered exception/stack trace if present</w:t>
            </w:r>
          </w:p>
        </w:tc>
        <w:tc>
          <w:tcPr>
            <w:tcW w:type="dxa" w:w="2592"/>
          </w:tcPr>
          <w:p>
            <w:r/>
            <w:r>
              <w:rPr>
                <w:rFonts w:ascii="Consolas" w:hAnsi="Consolas"/>
                <w:sz w:val="19"/>
              </w:rPr>
              <w:t>%s%e</w:t>
            </w:r>
          </w:p>
        </w:tc>
      </w:tr>
    </w:tbl>
    <w:p/>
    <w:p>
      <w:r>
        <w:t>Contextual fields (correlation id, actor, entity id) are propagated via a thread-local logging context (e.g. SLF4J MDC) rather than embedded manually in each call, so any log statement emitted while handling a unit of work automatically carries them.</w:t>
      </w:r>
    </w:p>
    <w:p>
      <w:pPr>
        <w:pStyle w:val="Heading1"/>
      </w:pPr>
      <w:r>
        <w:t>4. Correlation IDs</w:t>
      </w:r>
    </w:p>
    <w:p>
      <w:r>
        <w:t>Every unit of work is assigned a correlation identifier at the point it enters the service:</w:t>
      </w:r>
    </w:p>
    <w:p>
      <w:pPr>
        <w:pStyle w:val="ListBullet"/>
      </w:pPr>
      <w:r>
        <w:t>If the caller supplies one (e.g. on an inbound request or event), it is reused so traceability survives across service boundaries.</w:t>
      </w:r>
    </w:p>
    <w:p>
      <w:pPr>
        <w:pStyle w:val="ListBullet"/>
      </w:pPr>
      <w:r>
        <w:t>If none is supplied, the service generates one at the entry point (API handler, message consumer, scheduled job) before any other processing occurs.</w:t>
      </w:r>
    </w:p>
    <w:p>
      <w:pPr>
        <w:pStyle w:val="ListBullet"/>
      </w:pPr>
      <w:r>
        <w:t>The identifier is set in the logging context immediately and cleared (or restored to a prior value) once the unit of work completes, including on the failure path.</w:t>
      </w:r>
    </w:p>
    <w:p>
      <w:pPr>
        <w:pStyle w:val="ListBullet"/>
      </w:pPr>
      <w:r>
        <w:t xml:space="preserve">ID generation must be allocation-light and safe under high concurrency (reference: </w:t>
      </w:r>
      <w:r>
        <w:rPr>
          <w:rFonts w:ascii="Consolas" w:hAnsi="Consolas"/>
          <w:sz w:val="19"/>
        </w:rPr>
        <w:t>TraceIdGenerator</w:t>
      </w:r>
      <w:r>
        <w:t>, which combines epoch millis with random hex using a thread-local RNG instead of formatting a timestamp object per call).</w:t>
      </w:r>
    </w:p>
    <w:p>
      <w:r>
        <w:t>This is what makes it possible to pull every log line related to one request/transaction/event across multiple components and threads with a single filter.</w:t>
      </w:r>
    </w:p>
    <w:p>
      <w:pPr>
        <w:pStyle w:val="Heading1"/>
      </w:pPr>
      <w:r>
        <w:t>5. Log Levels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440"/>
            <w:shd w:val="clear" w:color="auto" w:fill="2E5E9E"/>
          </w:tcPr>
          <w:p>
            <w:r/>
            <w:r>
              <w:rPr>
                <w:b/>
                <w:color w:val="FFFFFF"/>
              </w:rPr>
              <w:t>Level</w:t>
            </w:r>
          </w:p>
        </w:tc>
        <w:tc>
          <w:tcPr>
            <w:tcW w:type="dxa" w:w="7632"/>
            <w:shd w:val="clear" w:color="auto" w:fill="2E5E9E"/>
          </w:tcPr>
          <w:p>
            <w:r/>
            <w:r>
              <w:rPr>
                <w:b/>
                <w:color w:val="FFFFFF"/>
              </w:rPr>
              <w:t>Use for</w:t>
            </w:r>
          </w:p>
        </w:tc>
      </w:tr>
      <w:tr>
        <w:tc>
          <w:tcPr>
            <w:tcW w:type="dxa" w:w="1440"/>
          </w:tcPr>
          <w:p>
            <w:r/>
            <w:r>
              <w:t>ERROR</w:t>
            </w:r>
          </w:p>
        </w:tc>
        <w:tc>
          <w:tcPr>
            <w:tcW w:type="dxa" w:w="7632"/>
          </w:tcPr>
          <w:p>
            <w:r/>
            <w:r>
              <w:t>The operation failed and requires attention; always includes the causing exception when one exists.</w:t>
            </w:r>
          </w:p>
        </w:tc>
      </w:tr>
      <w:tr>
        <w:tc>
          <w:tcPr>
            <w:tcW w:type="dxa" w:w="1440"/>
          </w:tcPr>
          <w:p>
            <w:r/>
            <w:r>
              <w:t>WARN</w:t>
            </w:r>
          </w:p>
        </w:tc>
        <w:tc>
          <w:tcPr>
            <w:tcW w:type="dxa" w:w="7632"/>
          </w:tcPr>
          <w:p>
            <w:r/>
            <w:r>
              <w:t>An abnormal but recoverable condition (fallback path taken, retry, degraded mode).</w:t>
            </w:r>
          </w:p>
        </w:tc>
      </w:tr>
      <w:tr>
        <w:tc>
          <w:tcPr>
            <w:tcW w:type="dxa" w:w="1440"/>
          </w:tcPr>
          <w:p>
            <w:r/>
            <w:r>
              <w:t>INFO</w:t>
            </w:r>
          </w:p>
        </w:tc>
        <w:tc>
          <w:tcPr>
            <w:tcW w:type="dxa" w:w="7632"/>
          </w:tcPr>
          <w:p>
            <w:r/>
            <w:r>
              <w:t>Significant lifecycle events: request/response boundaries, state transitions, startup/shutdown.</w:t>
            </w:r>
          </w:p>
        </w:tc>
      </w:tr>
      <w:tr>
        <w:tc>
          <w:tcPr>
            <w:tcW w:type="dxa" w:w="1440"/>
          </w:tcPr>
          <w:p>
            <w:r/>
            <w:r>
              <w:t>DEBUG</w:t>
            </w:r>
          </w:p>
        </w:tc>
        <w:tc>
          <w:tcPr>
            <w:tcW w:type="dxa" w:w="7632"/>
          </w:tcPr>
          <w:p>
            <w:r/>
            <w:r>
              <w:t>Detailed internal state useful for diagnosing an issue; guarded by a level check so it's free when disabled.</w:t>
            </w:r>
          </w:p>
        </w:tc>
      </w:tr>
      <w:tr>
        <w:tc>
          <w:tcPr>
            <w:tcW w:type="dxa" w:w="1440"/>
          </w:tcPr>
          <w:p>
            <w:r/>
            <w:r>
              <w:t>TRACE</w:t>
            </w:r>
          </w:p>
        </w:tc>
        <w:tc>
          <w:tcPr>
            <w:tcW w:type="dxa" w:w="7632"/>
          </w:tcPr>
          <w:p>
            <w:r/>
            <w:r>
              <w:t>Fine-grained step-by-step detail, off by default; also guarded by a level check.</w:t>
            </w:r>
          </w:p>
        </w:tc>
      </w:tr>
    </w:tbl>
    <w:p/>
    <w:p>
      <w:pPr>
        <w:pStyle w:val="Heading3"/>
      </w:pPr>
      <w:r>
        <w:t>Guidance</w:t>
      </w:r>
    </w:p>
    <w:p>
      <w:pPr>
        <w:pStyle w:val="ListBullet"/>
      </w:pPr>
      <w:r>
        <w:t xml:space="preserve">Default level is </w:t>
      </w:r>
      <w:r>
        <w:rPr>
          <w:rFonts w:ascii="Consolas" w:hAnsi="Consolas"/>
          <w:sz w:val="19"/>
        </w:rPr>
        <w:t>INFO</w:t>
      </w:r>
      <w:r>
        <w:t xml:space="preserve"> in normal operation.</w:t>
      </w:r>
    </w:p>
    <w:p>
      <w:pPr>
        <w:pStyle w:val="ListBullet"/>
      </w:pPr>
      <w:r>
        <w:t xml:space="preserve">DEBUG/TRACE statements must check </w:t>
      </w:r>
      <w:r>
        <w:rPr>
          <w:rFonts w:ascii="Consolas" w:hAnsi="Consolas"/>
          <w:sz w:val="19"/>
        </w:rPr>
        <w:t>isDebugEnabled()</w:t>
      </w:r>
      <w:r>
        <w:t>/</w:t>
      </w:r>
      <w:r>
        <w:rPr>
          <w:rFonts w:ascii="Consolas" w:hAnsi="Consolas"/>
          <w:sz w:val="19"/>
        </w:rPr>
        <w:t>isTraceEnabled()</w:t>
      </w:r>
      <w:r>
        <w:t xml:space="preserve"> before building the message, so message construction cost is only paid when the level is actually active.</w:t>
      </w:r>
    </w:p>
    <w:p>
      <w:pPr>
        <w:pStyle w:val="ListBullet"/>
      </w:pPr>
      <w:r>
        <w:t xml:space="preserve">ERROR statements must log the throwable object itself (not just </w:t>
      </w:r>
      <w:r>
        <w:rPr>
          <w:rFonts w:ascii="Consolas" w:hAnsi="Consolas"/>
          <w:sz w:val="19"/>
        </w:rPr>
        <w:t>exception.getMessage()</w:t>
      </w:r>
      <w:r>
        <w:t>), so the stack trace is preserved.</w:t>
      </w:r>
    </w:p>
    <w:p>
      <w:pPr>
        <w:pStyle w:val="ListBullet"/>
      </w:pPr>
      <w:r>
        <w:t xml:space="preserve">Failure/fallback paths get a single, purpose-built log call rather than scattering ad hoc error logging across call sites (reference: </w:t>
      </w:r>
      <w:r>
        <w:rPr>
          <w:rFonts w:ascii="Consolas" w:hAnsi="Consolas"/>
          <w:sz w:val="19"/>
        </w:rPr>
        <w:t>FailoverPathLogger</w:t>
      </w:r>
      <w:r>
        <w:t>, a small dedicated helper for "fallback path activated" events).</w:t>
      </w:r>
    </w:p>
    <w:p>
      <w:pPr>
        <w:pStyle w:val="Heading1"/>
      </w:pPr>
      <w:r>
        <w:t>6. Centralized Logging Helper</w:t>
      </w:r>
    </w:p>
    <w:p>
      <w:r>
        <w:t>Log statements are not written ad hoc against the raw logger API. A shared utility wraps the logger and:</w:t>
      </w:r>
    </w:p>
    <w:p>
      <w:pPr>
        <w:pStyle w:val="ListBullet"/>
      </w:pPr>
      <w:r>
        <w:t>Enforces the field order and format described in Section 3.</w:t>
      </w:r>
    </w:p>
    <w:p>
      <w:pPr>
        <w:pStyle w:val="ListBullet"/>
      </w:pPr>
      <w:r>
        <w:t>Reads correlation/actor/entity fields from the logging context rather than requiring every call site to pass them explicitly.</w:t>
      </w:r>
    </w:p>
    <w:p>
      <w:pPr>
        <w:pStyle w:val="ListBullet"/>
      </w:pPr>
      <w:r>
        <w:t>Performs level checks before building the formatted message, to avoid paying string-formatting cost when the level is disabled.</w:t>
      </w:r>
    </w:p>
    <w:p>
      <w:pPr>
        <w:pStyle w:val="ListBullet"/>
      </w:pPr>
      <w:r>
        <w:t>Uses a pooled, reusable buffer per thread for message construction instead of allocating a new buffer per call, since this runs on a high-throughput path.</w:t>
      </w:r>
    </w:p>
    <w:p>
      <w:r>
        <w:t xml:space="preserve">Reference implementation: </w:t>
      </w:r>
      <w:r>
        <w:rPr>
          <w:rFonts w:ascii="Consolas" w:hAnsi="Consolas"/>
          <w:sz w:val="19"/>
        </w:rPr>
        <w:t>LoggingUtil</w:t>
      </w:r>
      <w:r>
        <w:t xml:space="preserve"> (present in both modules of this repository), exposing </w:t>
      </w:r>
      <w:r>
        <w:rPr>
          <w:rFonts w:ascii="Consolas" w:hAnsi="Consolas"/>
          <w:sz w:val="19"/>
        </w:rPr>
        <w:t>logInfo</w:t>
      </w:r>
      <w:r>
        <w:t xml:space="preserve"> / </w:t>
      </w:r>
      <w:r>
        <w:rPr>
          <w:rFonts w:ascii="Consolas" w:hAnsi="Consolas"/>
          <w:sz w:val="19"/>
        </w:rPr>
        <w:t>logDebug</w:t>
      </w:r>
      <w:r>
        <w:t xml:space="preserve"> / </w:t>
      </w:r>
      <w:r>
        <w:rPr>
          <w:rFonts w:ascii="Consolas" w:hAnsi="Consolas"/>
          <w:sz w:val="19"/>
        </w:rPr>
        <w:t>logWarn</w:t>
      </w:r>
      <w:r>
        <w:t xml:space="preserve"> / </w:t>
      </w:r>
      <w:r>
        <w:rPr>
          <w:rFonts w:ascii="Consolas" w:hAnsi="Consolas"/>
          <w:sz w:val="19"/>
        </w:rPr>
        <w:t>logError</w:t>
      </w:r>
      <w:r>
        <w:t xml:space="preserve"> / </w:t>
      </w:r>
      <w:r>
        <w:rPr>
          <w:rFonts w:ascii="Consolas" w:hAnsi="Consolas"/>
          <w:sz w:val="19"/>
        </w:rPr>
        <w:t>logTrace</w:t>
      </w:r>
      <w:r>
        <w:t>, each taking the logger, the calling method name, a message template, and template arguments.</w:t>
      </w:r>
    </w:p>
    <w:p>
      <w:pPr>
        <w:pStyle w:val="Heading1"/>
      </w:pPr>
      <w:r>
        <w:t>7. Sensitive Data</w:t>
      </w:r>
    </w:p>
    <w:p>
      <w:pPr>
        <w:pStyle w:val="ListBullet"/>
      </w:pPr>
      <w:r>
        <w:t>Credentials, shared secrets, tokens, and full request/response payloads that may contain personal data are never written to logs.</w:t>
      </w:r>
    </w:p>
    <w:p>
      <w:pPr>
        <w:pStyle w:val="ListBullet"/>
      </w:pPr>
      <w:r>
        <w:t>Only identifiers needed for correlation and troubleshooting (correlation id, actor, entity id) are logged — not the underlying secret material used to authenticate that actor.</w:t>
      </w:r>
    </w:p>
    <w:p>
      <w:pPr>
        <w:pStyle w:val="ListBullet"/>
      </w:pPr>
      <w:r>
        <w:t>Configuration values that are secrets (passwords, shared keys) must not be echoed into log output even at DEBUG/TRACE level.</w:t>
      </w:r>
    </w:p>
    <w:p>
      <w:pPr>
        <w:pStyle w:val="Heading1"/>
      </w:pPr>
      <w:r>
        <w:t>8. Output Destinations</w:t>
      </w:r>
    </w:p>
    <w:p>
      <w:r>
        <w:t>Two destinations are enabled simultaneously, using the same structured format:</w:t>
      </w:r>
    </w:p>
    <w:p>
      <w:pPr>
        <w:pStyle w:val="ListNumber"/>
      </w:pPr>
      <w:r>
        <w:rPr>
          <w:b/>
        </w:rPr>
        <w:t>Console</w:t>
      </w:r>
      <w:r>
        <w:t xml:space="preserve"> — for local development and for collection by a container/orchestration platform's log driver.</w:t>
      </w:r>
    </w:p>
    <w:p>
      <w:pPr>
        <w:pStyle w:val="ListNumber"/>
      </w:pPr>
      <w:r>
        <w:rPr>
          <w:b/>
        </w:rPr>
        <w:t>File</w:t>
      </w:r>
      <w:r>
        <w:t xml:space="preserve"> — a rotating file on disk, for environments where a persistent, independently queryable copy is required regardless of container lifecycle.</w:t>
      </w:r>
    </w:p>
    <w:p>
      <w:r>
        <w:t xml:space="preserve">Both destinations can be configured with independent minimum levels. For example, a service may keep console output at </w:t>
      </w:r>
      <w:r>
        <w:rPr>
          <w:rFonts w:ascii="Consolas" w:hAnsi="Consolas"/>
          <w:sz w:val="19"/>
        </w:rPr>
        <w:t>INFO</w:t>
      </w:r>
      <w:r>
        <w:t xml:space="preserve"> for general visibility while restricting the file sink to </w:t>
      </w:r>
      <w:r>
        <w:rPr>
          <w:rFonts w:ascii="Consolas" w:hAnsi="Consolas"/>
          <w:sz w:val="19"/>
        </w:rPr>
        <w:t>ERROR</w:t>
      </w:r>
      <w:r>
        <w:t xml:space="preserve"> to reduce disk volume — the two sinks do not have to match.</w:t>
      </w:r>
    </w:p>
    <w:p>
      <w:pPr>
        <w:pStyle w:val="Heading1"/>
      </w:pPr>
      <w:r>
        <w:t>9. Asynchronous Logging</w:t>
      </w:r>
    </w:p>
    <w:p>
      <w:r>
        <w:t>Log writes are dispatched through a bounded, asynchronous queue per sink rather than blocking the calling thread on I/O:</w:t>
      </w:r>
    </w:p>
    <w:p>
      <w:pPr>
        <w:pStyle w:val="ListBullet"/>
      </w:pPr>
      <w:r>
        <w:t>Each sink (console, file) has its own queue with a configured maximum length.</w:t>
      </w:r>
    </w:p>
    <w:p>
      <w:pPr>
        <w:pStyle w:val="ListBullet"/>
      </w:pPr>
      <w:r>
        <w:t xml:space="preserve">When the queue is full, the overflow policy is </w:t>
      </w:r>
      <w:r>
        <w:rPr>
          <w:b/>
        </w:rPr>
        <w:t>discard</w:t>
      </w:r>
      <w:r>
        <w:t xml:space="preserve"> (drop the newest log events) rather than </w:t>
      </w:r>
      <w:r>
        <w:rPr>
          <w:b/>
        </w:rPr>
        <w:t>block</w:t>
      </w:r>
      <w:r>
        <w:t xml:space="preserve"> (stall the producing thread). This trades a small amount of log completeness under extreme burst load for guaranteed application throughput — logging must never become a backpressure source for the business logic it's observing.</w:t>
      </w:r>
    </w:p>
    <w:p>
      <w:pPr>
        <w:pStyle w:val="ListBullet"/>
      </w:pPr>
      <w:r>
        <w:t>Queue depth is sized relative to expected peak throughput and the number of log statements emitted per unit of work, not left at a generic default.</w:t>
      </w:r>
    </w:p>
    <w:p>
      <w:pPr>
        <w:pStyle w:val="Heading1"/>
      </w:pPr>
      <w:r>
        <w:t>10. File Rotation and Retention</w:t>
      </w:r>
    </w:p>
    <w:p>
      <w:r>
        <w:t>On-disk log files are rotated by:</w:t>
      </w:r>
    </w:p>
    <w:p>
      <w:pPr>
        <w:pStyle w:val="ListBullet"/>
      </w:pPr>
      <w:r>
        <w:rPr>
          <w:b/>
        </w:rPr>
        <w:t>Size</w:t>
      </w:r>
      <w:r>
        <w:t xml:space="preserve"> — a new file is started once the current one reaches a configured maximum size.</w:t>
      </w:r>
    </w:p>
    <w:p>
      <w:pPr>
        <w:pStyle w:val="ListBullet"/>
      </w:pPr>
      <w:r>
        <w:rPr>
          <w:b/>
        </w:rPr>
        <w:t>Count</w:t>
      </w:r>
      <w:r>
        <w:t xml:space="preserve"> — only a bounded number of historical (rotated) files are retained; the oldest is deleted once the limit is exceeded.</w:t>
      </w:r>
    </w:p>
    <w:p>
      <w:pPr>
        <w:pStyle w:val="ListBullet"/>
      </w:pPr>
      <w:r>
        <w:rPr>
          <w:b/>
        </w:rPr>
        <w:t>Date</w:t>
      </w:r>
      <w:r>
        <w:t xml:space="preserve"> — rotated files carry a date suffix so multiple days of history remain distinguishable at a glance.</w:t>
      </w:r>
    </w:p>
    <w:p>
      <w:pPr>
        <w:pStyle w:val="ListBullet"/>
      </w:pPr>
      <w:r>
        <w:rPr>
          <w:b/>
        </w:rPr>
        <w:t>Restart</w:t>
      </w:r>
      <w:r>
        <w:t xml:space="preserve"> — a rotation is also forced on service startup, so each process lifetime starts with a fresh active file.</w:t>
      </w:r>
    </w:p>
    <w:p>
      <w:r>
        <w:t>This bounds disk usage deterministically regardless of traffic volume, independent of any external log-shipping process.</w:t>
      </w:r>
    </w:p>
    <w:p>
      <w:pPr>
        <w:pStyle w:val="Heading1"/>
      </w:pPr>
      <w:r>
        <w:t>11. Storage Location</w:t>
      </w:r>
    </w:p>
    <w:p>
      <w:pPr>
        <w:pStyle w:val="ListBullet"/>
      </w:pPr>
      <w:r>
        <w:t>Log files are written to a well-known, fixed path (not colocated with application binaries), and that path is distinct per service/host so multiple instances never write to the same file.</w:t>
      </w:r>
    </w:p>
    <w:p>
      <w:pPr>
        <w:pStyle w:val="ListBullet"/>
      </w:pPr>
      <w:r>
        <w:t>In containerized/orchestrated deployments, that path is backed by storage that outlives the container — a mounted volume rather than the container's writable layer — so logs survive pod restarts and can be inspected after a crash.</w:t>
      </w:r>
    </w:p>
    <w:p>
      <w:pPr>
        <w:pStyle w:val="Heading1"/>
      </w:pPr>
      <w:r>
        <w:t>12. Per-Component Level Overrides</w:t>
      </w:r>
    </w:p>
    <w:p>
      <w:r>
        <w:t>The global log level can be overridden per logger category (typically a package or a specific library), independent of the service's own log level. This is used to:</w:t>
      </w:r>
    </w:p>
    <w:p>
      <w:pPr>
        <w:pStyle w:val="ListBullet"/>
      </w:pPr>
      <w:r>
        <w:t>Quiet noisy third-party dependencies (a messaging client, a configuration loader) that log more verbosely than needed at the default level.</w:t>
      </w:r>
    </w:p>
    <w:p>
      <w:pPr>
        <w:pStyle w:val="ListBullet"/>
      </w:pPr>
      <w:r>
        <w:t>Raise or lower verbosity for the service's own code paths without affecting dependency logging.</w:t>
      </w:r>
    </w:p>
    <w:p>
      <w:pPr>
        <w:pStyle w:val="Heading1"/>
      </w:pPr>
      <w:r>
        <w:t>13. Environment-Specific Tuning</w:t>
      </w:r>
    </w:p>
    <w:p>
      <w:r>
        <w:t>Logging configuration (levels, async queue depth, rotation size) is treated as an environment-specific concern, not a constant:</w:t>
      </w:r>
    </w:p>
    <w:p>
      <w:pPr>
        <w:pStyle w:val="ListBullet"/>
      </w:pPr>
      <w:r>
        <w:t>Higher expected throughput environments size async queues larger to absorb burst traffic without discarding under normal peak load.</w:t>
      </w:r>
    </w:p>
    <w:p>
      <w:pPr>
        <w:pStyle w:val="ListBullet"/>
      </w:pPr>
      <w:r>
        <w:t xml:space="preserve">Lower environments may run at a more verbose default level (e.g. DEBUG) for troubleshooting, while production defaults to </w:t>
      </w:r>
      <w:r>
        <w:rPr>
          <w:rFonts w:ascii="Consolas" w:hAnsi="Consolas"/>
          <w:sz w:val="19"/>
        </w:rPr>
        <w:t>INFO</w:t>
      </w:r>
      <w:r>
        <w:t>/</w:t>
      </w:r>
      <w:r>
        <w:rPr>
          <w:rFonts w:ascii="Consolas" w:hAnsi="Consolas"/>
          <w:sz w:val="19"/>
        </w:rPr>
        <w:t>ERROR</w:t>
      </w:r>
      <w:r>
        <w:t xml:space="preserve"> to limit volume and cost.</w:t>
      </w:r>
    </w:p>
    <w:p>
      <w:pPr>
        <w:pStyle w:val="Heading1"/>
      </w:pPr>
      <w:r>
        <w:t>14. Relationship to Metrics and Tracing</w:t>
      </w:r>
    </w:p>
    <w:p>
      <w:r>
        <w:t>Logs are one of three complementary observability signals:</w:t>
      </w:r>
    </w:p>
    <w:p>
      <w:pPr>
        <w:pStyle w:val="ListBullet"/>
      </w:pPr>
      <w:r>
        <w:rPr>
          <w:b/>
        </w:rPr>
        <w:t>Logs</w:t>
      </w:r>
      <w:r>
        <w:t xml:space="preserve"> — discrete, human-readable events with full context, used for root-cause investigation of a specific unit of work.</w:t>
      </w:r>
    </w:p>
    <w:p>
      <w:pPr>
        <w:pStyle w:val="ListBullet"/>
      </w:pPr>
      <w:r>
        <w:rPr>
          <w:b/>
        </w:rPr>
        <w:t>Metrics</w:t>
      </w:r>
      <w:r>
        <w:t xml:space="preserve"> — aggregated numeric time series (throughput, latency, saturation), used for trend detection and alerting.</w:t>
      </w:r>
    </w:p>
    <w:p>
      <w:pPr>
        <w:pStyle w:val="ListBullet"/>
      </w:pPr>
      <w:r>
        <w:rPr>
          <w:b/>
        </w:rPr>
        <w:t>Traces</w:t>
      </w:r>
      <w:r>
        <w:t xml:space="preserve"> — timing/causality across service boundaries for a single unit of work.</w:t>
      </w:r>
    </w:p>
    <w:p>
      <w:r>
        <w:t>Logs should not be used as a substitute for metrics (e.g. do not log a line per event purely to count volume elsewhere — export a counter instead), and correlation IDs used in logs should be reusable as the join key if distributed tracing is introduced later.</w:t>
      </w:r>
    </w:p>
    <w:p>
      <w:pPr>
        <w:pStyle w:val="Heading1"/>
      </w:pPr>
      <w:r>
        <w:t>15. Anti-Patterns</w:t>
      </w:r>
    </w:p>
    <w:p>
      <w:pPr>
        <w:pStyle w:val="ListBullet"/>
      </w:pPr>
      <w:r>
        <w:t xml:space="preserve">Logging directly through </w:t>
      </w:r>
      <w:r>
        <w:rPr>
          <w:rFonts w:ascii="Consolas" w:hAnsi="Consolas"/>
          <w:sz w:val="19"/>
        </w:rPr>
        <w:t>System.out</w:t>
      </w:r>
      <w:r>
        <w:t>/</w:t>
      </w:r>
      <w:r>
        <w:rPr>
          <w:rFonts w:ascii="Consolas" w:hAnsi="Consolas"/>
          <w:sz w:val="19"/>
        </w:rPr>
        <w:t>System.err</w:t>
      </w:r>
      <w:r>
        <w:t xml:space="preserve"> instead of the shared logging facility.</w:t>
      </w:r>
    </w:p>
    <w:p>
      <w:pPr>
        <w:pStyle w:val="ListBullet"/>
      </w:pPr>
      <w:r>
        <w:t>Building a formatted log message before checking whether the target level is enabled.</w:t>
      </w:r>
    </w:p>
    <w:p>
      <w:pPr>
        <w:pStyle w:val="ListBullet"/>
      </w:pPr>
      <w:r>
        <w:t>Concatenating strings to build a log message instead of using a parameterized template.</w:t>
      </w:r>
    </w:p>
    <w:p>
      <w:pPr>
        <w:pStyle w:val="ListBullet"/>
      </w:pPr>
      <w:r>
        <w:t>Logging full request/response bodies, credentials, or other sensitive fields "just in case."</w:t>
      </w:r>
    </w:p>
    <w:p>
      <w:pPr>
        <w:pStyle w:val="ListBullet"/>
      </w:pPr>
      <w:r>
        <w:t>Letting log I/O block the request/processing thread (unbounded or synchronous appenders on a high-throughput path).</w:t>
      </w:r>
    </w:p>
    <w:p>
      <w:pPr>
        <w:pStyle w:val="ListBullet"/>
      </w:pPr>
      <w:r>
        <w:t>Emitting a log statement without a correlation id when one is available in context.</w:t>
      </w:r>
    </w:p>
    <w:p>
      <w:pPr>
        <w:pStyle w:val="ListBullet"/>
      </w:pPr>
      <w:r>
        <w:t>Catching an exception and logging only its message, discarding the throwable (and therefore the stack trace).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F2A3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2E5E9E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2E5E9E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2E5E9E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2E5E9E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