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F3864"/>
          <w:sz w:val="40"/>
          <w:szCs w:val="40"/>
        </w:rPr>
        <w:t xml:space="preserve">integration_hub + Bridgify ETL</w:t>
      </w:r>
    </w:p>
    <w:p>
      <w:pPr>
        <w:spacing w:after="60"/>
        <w:jc w:val="left"/>
      </w:pPr>
      <w:r>
        <w:rPr>
          <w:rFonts w:ascii="Arial" w:cs="Arial" w:eastAsia="Arial" w:hAnsi="Arial"/>
          <w:color w:val="404040"/>
          <w:sz w:val="32"/>
          <w:szCs w:val="32"/>
        </w:rPr>
        <w:t xml:space="preserve">Proposed Architecture</w:t>
      </w:r>
    </w:p>
    <w:p>
      <w:pPr>
        <w:pBdr>
          <w:bottom w:val="single" w:color="2E5395" w:sz="6" w:space="4"/>
        </w:pBdr>
        <w:spacing w:after="360"/>
        <w:jc w:val="left"/>
      </w:pPr>
      <w:r>
        <w:rPr>
          <w:i/>
          <w:iCs/>
          <w:color w:val="666666"/>
          <w:sz w:val="20"/>
          <w:szCs w:val="20"/>
        </w:rPr>
        <w:t xml:space="preserve">Draft for team review — Eran Moss, April 2026</w:t>
      </w:r>
    </w:p>
    <w:p>
      <w:pPr>
        <w:pStyle w:val="Heading1"/>
        <w:spacing w:after="180" w:before="360"/>
      </w:pPr>
      <w:r>
        <w:t xml:space="preserve">Summary</w:t>
      </w:r>
    </w:p>
    <w:p>
      <w:pPr>
        <w:spacing w:after="120"/>
      </w:pPr>
      <w:r>
        <w:t xml:space="preserve">Make integration_hub the unifying business and API layer over Bridgify’s existing data store. The current Bridgify ETL keeps doing what it does well: extracting from 12 active suppliers and writing to PostgreSQL + OpenSearch. integration_hub adds the layers that don’t exist today — embedding-based dedup, multi-tenant scoping, multi-type inventory (hotels, transfers, packages, in addition to experiences), and a modern API for new consumers.</w:t>
      </w:r>
    </w:p>
    <w:p>
      <w:pPr>
        <w:spacing w:after="120"/>
      </w:pPr>
      <w:r>
        <w:t xml:space="preserve">Existing Bridgify customers and APIs are not affected. New consumers get a fresh, unified contract over both data sources.</w:t>
      </w:r>
    </w:p>
    <w:p>
      <w:pPr>
        <w:spacing w:after="120"/>
        <w:rPr>
          <w:b/>
          <w:bCs/>
        </w:rPr>
      </w:pPr>
      <w:r>
        <w:rPr>
          <w:b/>
          <w:bCs/>
        </w:rPr>
        <w:t xml:space="preserve">This is an additive proposal, not a replacement. Estimated 6–8 weeks to a credible v1.</w:t>
      </w:r>
    </w:p>
    <w:p>
      <w:pPr>
        <w:pStyle w:val="Heading1"/>
        <w:spacing w:after="180" w:before="360"/>
      </w:pPr>
      <w:r>
        <w:t xml:space="preserve">Current State: Two Systems, Complementary Strengths</w:t>
      </w:r>
    </w:p>
    <w:p>
      <w:pPr>
        <w:spacing w:after="120"/>
      </w:pPr>
      <w:r>
        <w:t xml:space="preserve">The two codebases are at different maturities and were built for different purposes. Neither is a substitute for the other. The proposal does not ask integration_hub to take on Bridgify’s production responsibilities — it asks it to add layers Bridgify doesn’t currently have.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EEF2F7" w:val="clear"/>
            <w:tcMar>
              <w:top w:type="dxa" w:w="80"/>
              <w:left w:type="dxa" w:w="140"/>
              <w:bottom w:type="dxa" w:w="80"/>
              <w:right w:type="dxa" w:w="140"/>
            </w:tcMar>
            <w:vAlign w:val="top"/>
          </w:tcPr>
          <w:p>
            <w:r>
              <w:rPr>
                <w:b/>
                <w:bCs/>
              </w:rPr>
              <w:t xml:space="preserve">Bridgify ETL (Python / Airflow)</w:t>
            </w:r>
          </w:p>
        </w:tc>
        <w:tc>
          <w:tcPr>
            <w:tcW w:type="dxa" w:w="4680"/>
            <w:tcBorders>
              <w:top w:val="single" w:color="BFBFBF" w:sz="4"/>
              <w:left w:val="single" w:color="BFBFBF" w:sz="4"/>
              <w:bottom w:val="single" w:color="BFBFBF" w:sz="4"/>
              <w:right w:val="single" w:color="BFBFBF" w:sz="4"/>
            </w:tcBorders>
            <w:shd w:fill="EEF2F7" w:val="clear"/>
            <w:tcMar>
              <w:top w:type="dxa" w:w="80"/>
              <w:left w:type="dxa" w:w="140"/>
              <w:bottom w:type="dxa" w:w="80"/>
              <w:right w:type="dxa" w:w="140"/>
            </w:tcMar>
            <w:vAlign w:val="top"/>
          </w:tcPr>
          <w:p>
            <w:r>
              <w:rPr>
                <w:b/>
                <w:bCs/>
              </w:rPr>
              <w:t xml:space="preserve">integration_hub (Node.js)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pPr>
              <w:spacing w:after="120"/>
              <w:rPr>
                <w:b/>
                <w:bCs/>
              </w:rPr>
            </w:pPr>
            <w:r>
              <w:rPr>
                <w:b/>
                <w:bCs/>
              </w:rPr>
              <w:t xml:space="preserve">Production scale</w:t>
            </w:r>
          </w:p>
          <w:p>
            <w:pPr>
              <w:spacing w:after="120"/>
            </w:pPr>
            <w:r>
              <w:t xml:space="preserve">~1.2M attractions, years of operational learning encoded in lock files, deactivation sentinels, lookback recovery, oversized-payload handling.</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pPr>
              <w:spacing w:after="120"/>
              <w:rPr>
                <w:b/>
                <w:bCs/>
              </w:rPr>
            </w:pPr>
            <w:r>
              <w:rPr>
                <w:b/>
                <w:bCs/>
              </w:rPr>
              <w:t xml:space="preserve">Embedding-based dedup</w:t>
            </w:r>
          </w:p>
          <w:p>
            <w:pPr>
              <w:spacing w:after="120"/>
            </w:pPr>
            <w:r>
              <w:t xml:space="preserve">MiniLM-L6 (local, zero API cost) + multi-signal OR-gate + differentiator veto + Claude Haiku LLM judge for borderline cases. Cost-analyzed at ~$3/month at 100K scale.</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pPr>
              <w:spacing w:after="120"/>
              <w:rPr>
                <w:b/>
                <w:bCs/>
              </w:rPr>
            </w:pPr>
            <w:r>
              <w:rPr>
                <w:b/>
                <w:bCs/>
              </w:rPr>
              <w:t xml:space="preserve">12 supplier integrations</w:t>
            </w:r>
          </w:p>
          <w:p>
            <w:pPr>
              <w:spacing w:after="120"/>
            </w:pPr>
            <w:r>
              <w:t xml:space="preserve">Viator, Tiqets, Hotelbeds, GetYourGuide, AttractionWorld, BookitFun, LiveTickets, SportsEvents365, StubHub, Ticketero, Ticketmaster, Tillo. Each with auth, pagination, schema-quirk handling.</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pPr>
              <w:spacing w:after="120"/>
              <w:rPr>
                <w:b/>
                <w:bCs/>
              </w:rPr>
            </w:pPr>
            <w:r>
              <w:rPr>
                <w:b/>
                <w:bCs/>
              </w:rPr>
              <w:t xml:space="preserve">Multi-tenant by design</w:t>
            </w:r>
          </w:p>
          <w:p>
            <w:pPr>
              <w:spacing w:after="120"/>
            </w:pPr>
            <w:r>
              <w:t xml:space="preserve">Tenant scoping throughout, tenant-configurable behaviors, migration-managed schema. Adding multi-tenancy retroactively is far harder than starting that way.</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pPr>
              <w:spacing w:after="120"/>
              <w:rPr>
                <w:b/>
                <w:bCs/>
              </w:rPr>
            </w:pPr>
            <w:r>
              <w:rPr>
                <w:b/>
                <w:bCs/>
              </w:rPr>
              <w:t xml:space="preserve">ML enrichment pipeline</w:t>
            </w:r>
          </w:p>
          <w:p>
            <w:pPr>
              <w:spacing w:after="120"/>
            </w:pPr>
            <w:r>
              <w:t xml:space="preserve">NER, tagging, routing, image processing, city descriptions, translations across IT/PT/HE. Multiple Airflow DAGs orchestrating the work.</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pPr>
              <w:spacing w:after="120"/>
              <w:rPr>
                <w:b/>
                <w:bCs/>
              </w:rPr>
            </w:pPr>
            <w:r>
              <w:rPr>
                <w:b/>
                <w:bCs/>
              </w:rPr>
              <w:t xml:space="preserve">Multi-type CTS schema</w:t>
            </w:r>
          </w:p>
          <w:p>
            <w:pPr>
              <w:spacing w:after="120"/>
            </w:pPr>
            <w:r>
              <w:t xml:space="preserve">Experiences, hotels, transfers, packages, flights as first-class types. Bridgify's schema is experience-only.</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pPr>
              <w:spacing w:after="120"/>
              <w:rPr>
                <w:b/>
                <w:bCs/>
              </w:rPr>
            </w:pPr>
            <w:r>
              <w:rPr>
                <w:b/>
                <w:bCs/>
              </w:rPr>
              <w:t xml:space="preserve">Booking layer</w:t>
            </w:r>
          </w:p>
          <w:p>
            <w:pPr>
              <w:spacing w:after="120"/>
            </w:pPr>
            <w:r>
              <w:t xml:space="preserve">BaseInventorySupplier ABC with per-supplier Booker implementations. Async order status, voucher extraction, cancellation sync.</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pPr>
              <w:spacing w:after="120"/>
              <w:rPr>
                <w:b/>
                <w:bCs/>
              </w:rPr>
            </w:pPr>
            <w:r>
              <w:rPr>
                <w:b/>
                <w:bCs/>
              </w:rPr>
              <w:t xml:space="preserve">API-first</w:t>
            </w:r>
          </w:p>
          <w:p>
            <w:pPr>
              <w:spacing w:after="120"/>
            </w:pPr>
            <w:r>
              <w:t xml:space="preserve">Catalog routes, onboarding and auto-mapping, dashboard, agent/chat layer. Bridgify's repo has no API surface.</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pPr>
              <w:spacing w:after="120"/>
              <w:rPr>
                <w:b/>
                <w:bCs/>
              </w:rPr>
            </w:pPr>
            <w:r>
              <w:rPr>
                <w:b/>
                <w:bCs/>
              </w:rPr>
              <w:t xml:space="preserve">Operational tooling</w:t>
            </w:r>
          </w:p>
          <w:p>
            <w:pPr>
              <w:spacing w:after="120"/>
            </w:pPr>
            <w:r>
              <w:t xml:space="preserve">Airflow DAGs, log monitoring, business reports (daily/weekly/monthly/merchant/invoices), regressions tracker, hardening guide.</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pPr>
              <w:spacing w:after="120"/>
              <w:rPr>
                <w:b/>
                <w:bCs/>
              </w:rPr>
            </w:pPr>
            <w:r>
              <w:rPr>
                <w:b/>
                <w:bCs/>
              </w:rPr>
              <w:t xml:space="preserve">Cost-conscious design</w:t>
            </w:r>
          </w:p>
          <w:p>
            <w:pPr>
              <w:spacing w:after="120"/>
            </w:pPr>
            <w:r>
              <w:t xml:space="preserve">Local embeddings, batched LLM judge, caching strategies. Cost trade-offs documented per component, not retrofitted.</w:t>
            </w:r>
          </w:p>
        </w:tc>
      </w:tr>
    </w:tbl>
    <w:p>
      <w:r>
        <w:t xml:space="preserve"/>
      </w:r>
    </w:p>
    <w:p>
      <w:pPr>
        <w:pStyle w:val="Heading3"/>
        <w:spacing w:after="100" w:before="180"/>
      </w:pPr>
      <w:r>
        <w:t xml:space="preserve">Where they’re peers</w:t>
      </w:r>
    </w:p>
    <w:p>
      <w:pPr>
        <w:spacing w:after="120"/>
      </w:pPr>
      <w:r>
        <w:t xml:space="preserve">Both are well-engineered, well-tested, and well-documented at the per-component level. Both follow consistent patterns. Neither has obvious quality issues to rebuild around.</w:t>
      </w:r>
    </w:p>
    <w:p>
      <w:pPr>
        <w:pStyle w:val="Heading3"/>
        <w:spacing w:after="100" w:before="180"/>
      </w:pPr>
      <w:r>
        <w:t xml:space="preserve">Where they’re not</w:t>
      </w:r>
    </w:p>
    <w:p>
      <w:pPr>
        <w:spacing w:after="120"/>
      </w:pPr>
      <w:r>
        <w:t xml:space="preserve">Bridgify ETL is a mature production system with operational scars and broad supplier coverage. integration_hub is a smaller, more architecturally modern system with one standout component (dedup) and several smaller well-designed pieces around it. The proposal is structured to play to each system’s strengths rather than pretend they’re equivalent.</w:t>
      </w:r>
    </w:p>
    <w:p>
      <w:pPr>
        <w:pStyle w:val="Heading1"/>
        <w:spacing w:after="180" w:before="360"/>
      </w:pPr>
      <w:r>
        <w:t xml:space="preserve">Proposed Architecture</w:t>
      </w:r>
    </w:p>
    <w:p>
      <w:pPr>
        <w:spacing w:after="120"/>
      </w:pPr>
      <w:r>
        <w:t xml:space="preserve">The unification happens at the business and API layers, not at the data layer. Each system continues to own its native strengths.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EEF2F7" w:val="clear"/>
            <w:tcMar>
              <w:top w:type="dxa" w:w="80"/>
              <w:left w:type="dxa" w:w="140"/>
              <w:bottom w:type="dxa" w:w="80"/>
              <w:right w:type="dxa" w:w="140"/>
            </w:tcMar>
            <w:vAlign w:val="top"/>
          </w:tcPr>
          <w:p>
            <w:r>
              <w:rPr>
                <w:b/>
                <w:bCs/>
              </w:rPr>
              <w:t xml:space="preserve">Layer</w:t>
            </w:r>
          </w:p>
        </w:tc>
        <w:tc>
          <w:tcPr>
            <w:tcW w:type="dxa" w:w="7460"/>
            <w:tcBorders>
              <w:top w:val="single" w:color="BFBFBF" w:sz="4"/>
              <w:left w:val="single" w:color="BFBFBF" w:sz="4"/>
              <w:bottom w:val="single" w:color="BFBFBF" w:sz="4"/>
              <w:right w:val="single" w:color="BFBFBF" w:sz="4"/>
            </w:tcBorders>
            <w:shd w:fill="EEF2F7" w:val="clear"/>
            <w:tcMar>
              <w:top w:type="dxa" w:w="80"/>
              <w:left w:type="dxa" w:w="140"/>
              <w:bottom w:type="dxa" w:w="80"/>
              <w:right w:type="dxa" w:w="140"/>
            </w:tcMar>
            <w:vAlign w:val="top"/>
          </w:tcPr>
          <w:p>
            <w:r>
              <w:rPr>
                <w:b/>
                <w:bCs/>
              </w:rPr>
              <w:t xml:space="preserve">What lives here</w:t>
            </w:r>
          </w:p>
        </w:tc>
      </w:tr>
      <w:tr>
        <w:tc>
          <w:tcPr>
            <w:tcW w:type="dxa" w:w="1900"/>
            <w:tcBorders>
              <w:top w:val="single" w:color="BFBFBF" w:sz="4"/>
              <w:left w:val="single" w:color="BFBFBF" w:sz="4"/>
              <w:bottom w:val="single" w:color="BFBFBF" w:sz="4"/>
              <w:right w:val="single" w:color="BFBFBF" w:sz="4"/>
            </w:tcBorders>
            <w:shd w:fill="F7F7F7" w:val="clear"/>
            <w:tcMar>
              <w:top w:type="dxa" w:w="80"/>
              <w:left w:type="dxa" w:w="140"/>
              <w:bottom w:type="dxa" w:w="80"/>
              <w:right w:type="dxa" w:w="140"/>
            </w:tcMar>
            <w:vAlign w:val="top"/>
          </w:tcPr>
          <w:p>
            <w:r>
              <w:rPr>
                <w:b/>
                <w:bCs/>
              </w:rPr>
              <w:t xml:space="preserve">Consumers</w:t>
            </w:r>
          </w:p>
        </w:tc>
        <w:tc>
          <w:tcPr>
            <w:tcW w:type="dxa" w:w="746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New API consumers (fresh contract). Existing Bridgify API consumers (untouched, served by current Bridgify API service).</w:t>
            </w:r>
          </w:p>
        </w:tc>
      </w:tr>
      <w:tr>
        <w:tc>
          <w:tcPr>
            <w:tcW w:type="dxa" w:w="1900"/>
            <w:tcBorders>
              <w:top w:val="single" w:color="BFBFBF" w:sz="4"/>
              <w:left w:val="single" w:color="BFBFBF" w:sz="4"/>
              <w:bottom w:val="single" w:color="BFBFBF" w:sz="4"/>
              <w:right w:val="single" w:color="BFBFBF" w:sz="4"/>
            </w:tcBorders>
            <w:shd w:fill="F7F7F7" w:val="clear"/>
            <w:tcMar>
              <w:top w:type="dxa" w:w="80"/>
              <w:left w:type="dxa" w:w="140"/>
              <w:bottom w:type="dxa" w:w="80"/>
              <w:right w:type="dxa" w:w="140"/>
            </w:tcMar>
            <w:vAlign w:val="top"/>
          </w:tcPr>
          <w:p>
            <w:r>
              <w:rPr>
                <w:b/>
                <w:bCs/>
              </w:rPr>
              <w:t xml:space="preserve">API</w:t>
            </w:r>
          </w:p>
        </w:tc>
        <w:tc>
          <w:tcPr>
            <w:tcW w:type="dxa" w:w="746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integration_hub API exposes the unified, deduplicated, multi-type catalog to new consumers. Bridgify's existing API service continues serving current consumers from the same Attraction store.</w:t>
            </w:r>
          </w:p>
        </w:tc>
      </w:tr>
      <w:tr>
        <w:tc>
          <w:tcPr>
            <w:tcW w:type="dxa" w:w="1900"/>
            <w:tcBorders>
              <w:top w:val="single" w:color="BFBFBF" w:sz="4"/>
              <w:left w:val="single" w:color="BFBFBF" w:sz="4"/>
              <w:bottom w:val="single" w:color="BFBFBF" w:sz="4"/>
              <w:right w:val="single" w:color="BFBFBF" w:sz="4"/>
            </w:tcBorders>
            <w:shd w:fill="F7F7F7" w:val="clear"/>
            <w:tcMar>
              <w:top w:type="dxa" w:w="80"/>
              <w:left w:type="dxa" w:w="140"/>
              <w:bottom w:type="dxa" w:w="80"/>
              <w:right w:type="dxa" w:w="140"/>
            </w:tcMar>
            <w:vAlign w:val="top"/>
          </w:tcPr>
          <w:p>
            <w:r>
              <w:rPr>
                <w:b/>
                <w:bCs/>
              </w:rPr>
              <w:t xml:space="preserve">Business</w:t>
            </w:r>
          </w:p>
        </w:tc>
        <w:tc>
          <w:tcPr>
            <w:tcW w:type="dxa" w:w="746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integration_hub business layer: dedup engine (embeddings + OR-gate + LLM judge), canonical-ID assignment, multi-tenant scoping, pricing harmonization.</w:t>
            </w:r>
          </w:p>
        </w:tc>
      </w:tr>
      <w:tr>
        <w:tc>
          <w:tcPr>
            <w:tcW w:type="dxa" w:w="1900"/>
            <w:tcBorders>
              <w:top w:val="single" w:color="BFBFBF" w:sz="4"/>
              <w:left w:val="single" w:color="BFBFBF" w:sz="4"/>
              <w:bottom w:val="single" w:color="BFBFBF" w:sz="4"/>
              <w:right w:val="single" w:color="BFBFBF" w:sz="4"/>
            </w:tcBorders>
            <w:shd w:fill="F7F7F7" w:val="clear"/>
            <w:tcMar>
              <w:top w:type="dxa" w:w="80"/>
              <w:left w:type="dxa" w:w="140"/>
              <w:bottom w:type="dxa" w:w="80"/>
              <w:right w:type="dxa" w:w="140"/>
            </w:tcMar>
            <w:vAlign w:val="top"/>
          </w:tcPr>
          <w:p>
            <w:r>
              <w:rPr>
                <w:b/>
                <w:bCs/>
              </w:rPr>
              <w:t xml:space="preserve">Translation</w:t>
            </w:r>
          </w:p>
        </w:tc>
        <w:tc>
          <w:tcPr>
            <w:tcW w:type="dxa" w:w="746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integration_hub maps Bridgify's Attraction + AdditionalAttractionInfo shape to the CTS view used by the business and API layers. Read-only initially.</w:t>
            </w:r>
          </w:p>
        </w:tc>
      </w:tr>
      <w:tr>
        <w:tc>
          <w:tcPr>
            <w:tcW w:type="dxa" w:w="1900"/>
            <w:tcBorders>
              <w:top w:val="single" w:color="BFBFBF" w:sz="4"/>
              <w:left w:val="single" w:color="BFBFBF" w:sz="4"/>
              <w:bottom w:val="single" w:color="BFBFBF" w:sz="4"/>
              <w:right w:val="single" w:color="BFBFBF" w:sz="4"/>
            </w:tcBorders>
            <w:shd w:fill="F7F7F7" w:val="clear"/>
            <w:tcMar>
              <w:top w:type="dxa" w:w="80"/>
              <w:left w:type="dxa" w:w="140"/>
              <w:bottom w:type="dxa" w:w="80"/>
              <w:right w:type="dxa" w:w="140"/>
            </w:tcMar>
            <w:vAlign w:val="top"/>
          </w:tcPr>
          <w:p>
            <w:r>
              <w:rPr>
                <w:b/>
                <w:bCs/>
              </w:rPr>
              <w:t xml:space="preserve">Storage</w:t>
            </w:r>
          </w:p>
        </w:tc>
        <w:tc>
          <w:tcPr>
            <w:tcW w:type="dxa" w:w="746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Bridgify PostgreSQL + OpenSearch (canonical experience store, untouched). New CTS-shape tables for hotels, transfers, and other future types written by integration_hub.</w:t>
            </w:r>
          </w:p>
        </w:tc>
      </w:tr>
      <w:tr>
        <w:tc>
          <w:tcPr>
            <w:tcW w:type="dxa" w:w="1900"/>
            <w:tcBorders>
              <w:top w:val="single" w:color="BFBFBF" w:sz="4"/>
              <w:left w:val="single" w:color="BFBFBF" w:sz="4"/>
              <w:bottom w:val="single" w:color="BFBFBF" w:sz="4"/>
              <w:right w:val="single" w:color="BFBFBF" w:sz="4"/>
            </w:tcBorders>
            <w:shd w:fill="F7F7F7" w:val="clear"/>
            <w:tcMar>
              <w:top w:type="dxa" w:w="80"/>
              <w:left w:type="dxa" w:w="140"/>
              <w:bottom w:type="dxa" w:w="80"/>
              <w:right w:type="dxa" w:w="140"/>
            </w:tcMar>
            <w:vAlign w:val="top"/>
          </w:tcPr>
          <w:p>
            <w:r>
              <w:rPr>
                <w:b/>
                <w:bCs/>
              </w:rPr>
              <w:t xml:space="preserve">Extraction</w:t>
            </w:r>
          </w:p>
        </w:tc>
        <w:tc>
          <w:tcPr>
            <w:tcW w:type="dxa" w:w="746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12 existing Bridgify Python ETL pipelines (untouched). New Node.js suppliers added via integration_hub, primarily for non-experience types.</w:t>
            </w:r>
          </w:p>
        </w:tc>
      </w:tr>
    </w:tbl>
    <w:p>
      <w:r>
        <w:t xml:space="preserve"/>
      </w:r>
    </w:p>
    <w:p>
      <w:pPr>
        <w:pStyle w:val="Heading3"/>
        <w:spacing w:after="100" w:before="180"/>
      </w:pPr>
      <w:r>
        <w:t xml:space="preserve">Data flow</w:t>
      </w:r>
    </w:p>
    <w:p>
      <w:pPr>
        <w:pStyle w:val="ListParagraph"/>
        <w:numPr>
          <w:ilvl w:val="0"/>
          <w:numId w:val="2"/>
        </w:numPr>
        <w:spacing w:after="80"/>
      </w:pPr>
      <w:r>
        <w:t xml:space="preserve">Existing experience suppliers (12) write to Bridgify’s Attraction schema as they do today.</w:t>
      </w:r>
    </w:p>
    <w:p>
      <w:pPr>
        <w:pStyle w:val="ListParagraph"/>
        <w:numPr>
          <w:ilvl w:val="0"/>
          <w:numId w:val="2"/>
        </w:numPr>
        <w:spacing w:after="80"/>
      </w:pPr>
      <w:r>
        <w:t xml:space="preserve">New non-experience suppliers (hotels, transfers, etc.) write to integration_hub’s CTS schema.</w:t>
      </w:r>
    </w:p>
    <w:p>
      <w:pPr>
        <w:pStyle w:val="ListParagraph"/>
        <w:numPr>
          <w:ilvl w:val="0"/>
          <w:numId w:val="2"/>
        </w:numPr>
        <w:spacing w:after="80"/>
      </w:pPr>
      <w:r>
        <w:t xml:space="preserve">A translation layer in integration_hub maps Bridgify’s Attraction shape to the CTS view used by the business and API layers.</w:t>
      </w:r>
    </w:p>
    <w:p>
      <w:pPr>
        <w:pStyle w:val="ListParagraph"/>
        <w:numPr>
          <w:ilvl w:val="0"/>
          <w:numId w:val="2"/>
        </w:numPr>
        <w:spacing w:after="80"/>
      </w:pPr>
      <w:r>
        <w:t xml:space="preserve">The dedup engine operates over a unified view of both data sources, producing canonical IDs for the API layer.</w:t>
      </w:r>
    </w:p>
    <w:p>
      <w:pPr>
        <w:pStyle w:val="ListParagraph"/>
        <w:numPr>
          <w:ilvl w:val="0"/>
          <w:numId w:val="2"/>
        </w:numPr>
        <w:spacing w:after="80"/>
      </w:pPr>
      <w:r>
        <w:t xml:space="preserve">The new API exposes the unified, deduplicated, multi-type catalog to new consumers.</w:t>
      </w:r>
    </w:p>
    <w:p>
      <w:pPr>
        <w:pStyle w:val="ListParagraph"/>
        <w:numPr>
          <w:ilvl w:val="0"/>
          <w:numId w:val="2"/>
        </w:numPr>
        <w:spacing w:after="80"/>
      </w:pPr>
      <w:r>
        <w:t xml:space="preserve">Bridgify’s existing API service continues to serve current consumers from the same Attraction store, untouched.</w:t>
      </w:r>
    </w:p>
    <w:p>
      <w:pPr>
        <w:pStyle w:val="Heading1"/>
        <w:spacing w:after="180" w:before="360"/>
      </w:pPr>
      <w:r>
        <w:t xml:space="preserve">Why This Architecture</w:t>
      </w:r>
    </w:p>
    <w:p>
      <w:pPr>
        <w:pStyle w:val="ListParagraph"/>
        <w:numPr>
          <w:ilvl w:val="0"/>
          <w:numId w:val="2"/>
        </w:numPr>
        <w:spacing w:after="80"/>
      </w:pPr>
      <w:r>
        <w:rPr>
          <w:b/>
          <w:bCs/>
        </w:rPr>
        <w:t xml:space="preserve">Plays to each system’s strengths. </w:t>
      </w:r>
      <w:r>
        <w:t xml:space="preserve">Bridgify’s ETL is mature and broad; integration_hub’s dedup, multi-tenancy, and multi-type schema are architecturally ahead. Each does what it’s already good at.</w:t>
      </w:r>
    </w:p>
    <w:p>
      <w:pPr>
        <w:pStyle w:val="ListParagraph"/>
        <w:numPr>
          <w:ilvl w:val="0"/>
          <w:numId w:val="2"/>
        </w:numPr>
        <w:spacing w:after="80"/>
      </w:pPr>
      <w:r>
        <w:rPr>
          <w:b/>
          <w:bCs/>
        </w:rPr>
        <w:t xml:space="preserve">Additive, not replacement. </w:t>
      </w:r>
      <w:r>
        <w:t xml:space="preserve">Existing Bridgify customers and APIs are not affected. The proposal can be killed at any phase boundary with no production fallout.</w:t>
      </w:r>
    </w:p>
    <w:p>
      <w:pPr>
        <w:pStyle w:val="ListParagraph"/>
        <w:numPr>
          <w:ilvl w:val="0"/>
          <w:numId w:val="2"/>
        </w:numPr>
        <w:spacing w:after="80"/>
      </w:pPr>
      <w:r>
        <w:rPr>
          <w:b/>
          <w:bCs/>
        </w:rPr>
        <w:t xml:space="preserve">The seam is at the right layer. </w:t>
      </w:r>
      <w:r>
        <w:t xml:space="preserve">Translation + business layer is the cheapest place to unify two systems with different schemas and different write paths. Forcing unification at the storage layer (single schema for everything) would either require rewriting Bridgify’s pipeline or deferring multi-type support indefinitely.</w:t>
      </w:r>
    </w:p>
    <w:p>
      <w:pPr>
        <w:pStyle w:val="ListParagraph"/>
        <w:numPr>
          <w:ilvl w:val="0"/>
          <w:numId w:val="2"/>
        </w:numPr>
        <w:spacing w:after="80"/>
      </w:pPr>
      <w:r>
        <w:rPr>
          <w:b/>
          <w:bCs/>
        </w:rPr>
        <w:t xml:space="preserve">Each phase delivers testable value. </w:t>
      </w:r>
      <w:r>
        <w:t xml:space="preserve">The phasing is structured so each phase produces something the team can evaluate before committing to the next.</w:t>
      </w:r>
    </w:p>
    <w:p>
      <w:pPr>
        <w:pStyle w:val="ListParagraph"/>
        <w:numPr>
          <w:ilvl w:val="0"/>
          <w:numId w:val="2"/>
        </w:numPr>
        <w:spacing w:after="80"/>
      </w:pPr>
      <w:r>
        <w:rPr>
          <w:b/>
          <w:bCs/>
        </w:rPr>
        <w:t xml:space="preserve">Doesn’t fight stack/runtime decisions. </w:t>
      </w:r>
      <w:r>
        <w:t xml:space="preserve">Bridgify stays Python; integration_hub stays Node.js. New suppliers go to whichever stack fits the supplier — fast/event-driven ones in integration_hub, complex ones with enrichment needs in Bridgify’s pipeline.</w:t>
      </w:r>
    </w:p>
    <w:p>
      <w:pPr>
        <w:pStyle w:val="Heading1"/>
        <w:spacing w:after="180" w:before="360"/>
      </w:pPr>
      <w:r>
        <w:t xml:space="preserve">Phased Delivery</w:t>
      </w:r>
    </w:p>
    <w:p>
      <w:pPr>
        <w:spacing w:after="120"/>
      </w:pPr>
      <w:r>
        <w:t xml:space="preserve">Each phase has a kill switch. Phase 0 is specifically designed to validate the seam before any significant investment.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760"/>
        <w:gridCol w:w="1500"/>
      </w:tblGrid>
      <w:tr>
        <w:trPr>
          <w:tblHeader/>
        </w:trPr>
        <w:tc>
          <w:tcPr>
            <w:tcW w:type="dxa" w:w="1100"/>
            <w:tcBorders>
              <w:top w:val="single" w:color="BFBFBF" w:sz="4"/>
              <w:left w:val="single" w:color="BFBFBF" w:sz="4"/>
              <w:bottom w:val="single" w:color="BFBFBF" w:sz="4"/>
              <w:right w:val="single" w:color="BFBFBF" w:sz="4"/>
            </w:tcBorders>
            <w:shd w:fill="EEF2F7" w:val="clear"/>
            <w:tcMar>
              <w:top w:type="dxa" w:w="80"/>
              <w:left w:type="dxa" w:w="140"/>
              <w:bottom w:type="dxa" w:w="80"/>
              <w:right w:type="dxa" w:w="140"/>
            </w:tcMar>
            <w:vAlign w:val="top"/>
          </w:tcPr>
          <w:p>
            <w:r>
              <w:rPr>
                <w:b/>
                <w:bCs/>
              </w:rPr>
              <w:t xml:space="preserve">Phase</w:t>
            </w:r>
          </w:p>
        </w:tc>
        <w:tc>
          <w:tcPr>
            <w:tcW w:type="dxa" w:w="6760"/>
            <w:tcBorders>
              <w:top w:val="single" w:color="BFBFBF" w:sz="4"/>
              <w:left w:val="single" w:color="BFBFBF" w:sz="4"/>
              <w:bottom w:val="single" w:color="BFBFBF" w:sz="4"/>
              <w:right w:val="single" w:color="BFBFBF" w:sz="4"/>
            </w:tcBorders>
            <w:shd w:fill="EEF2F7" w:val="clear"/>
            <w:tcMar>
              <w:top w:type="dxa" w:w="80"/>
              <w:left w:type="dxa" w:w="140"/>
              <w:bottom w:type="dxa" w:w="80"/>
              <w:right w:type="dxa" w:w="140"/>
            </w:tcMar>
            <w:vAlign w:val="top"/>
          </w:tcPr>
          <w:p>
            <w:r>
              <w:rPr>
                <w:b/>
                <w:bCs/>
              </w:rPr>
              <w:t xml:space="preserve">Scope</w:t>
            </w:r>
          </w:p>
        </w:tc>
        <w:tc>
          <w:tcPr>
            <w:tcW w:type="dxa" w:w="1500"/>
            <w:tcBorders>
              <w:top w:val="single" w:color="BFBFBF" w:sz="4"/>
              <w:left w:val="single" w:color="BFBFBF" w:sz="4"/>
              <w:bottom w:val="single" w:color="BFBFBF" w:sz="4"/>
              <w:right w:val="single" w:color="BFBFBF" w:sz="4"/>
            </w:tcBorders>
            <w:shd w:fill="EEF2F7" w:val="clear"/>
            <w:tcMar>
              <w:top w:type="dxa" w:w="80"/>
              <w:left w:type="dxa" w:w="140"/>
              <w:bottom w:type="dxa" w:w="80"/>
              <w:right w:type="dxa" w:w="140"/>
            </w:tcMar>
            <w:vAlign w:val="top"/>
          </w:tcPr>
          <w:p>
            <w:r>
              <w:rPr>
                <w:b/>
                <w:bCs/>
              </w:rPr>
              <w:t xml:space="preserve">Estimate</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0</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Read-only proof: integration_hub queries Bridgify's PostgreSQL, exposes one read endpoint over translated data. No writes, no dedup yet. Validates the seam, latency, schema mapping.</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~2 weeks</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1</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Translation layer + dedup extension. Bridgify rows become visible to the existing dedup engine; embeddings backfilled for the existing inventory; canonical IDs assigned across both data sources.</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~2-3 weeks</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2</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First new non-experience supplier (hotel or transfer) writing to integration_hub's CTS schema, surfacing through the new API, dedup working across both data sources.</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~2-3 weeks</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3+</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Additional suppliers, additional types, on business cadence.</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top"/>
          </w:tcPr>
          <w:p>
            <w:r>
              <w:t xml:space="preserve">Ongoing</w:t>
            </w:r>
          </w:p>
        </w:tc>
      </w:tr>
    </w:tbl>
    <w:p>
      <w:r>
        <w:t xml:space="preserve"/>
      </w:r>
    </w:p>
    <w:p>
      <w:pPr>
        <w:pStyle w:val="Heading1"/>
        <w:spacing w:after="180" w:before="360"/>
      </w:pPr>
      <w:r>
        <w:t xml:space="preserve">Open Questions for the Team</w:t>
      </w:r>
    </w:p>
    <w:p>
      <w:pPr>
        <w:spacing w:after="120"/>
      </w:pPr>
      <w:r>
        <w:t xml:space="preserve">These are intentionally not resolved in this draft. They warrant team discussion.</w:t>
      </w:r>
    </w:p>
    <w:p>
      <w:pPr>
        <w:pStyle w:val="ListParagraph"/>
        <w:numPr>
          <w:ilvl w:val="0"/>
          <w:numId w:val="3"/>
        </w:numPr>
        <w:spacing w:after="120"/>
      </w:pPr>
      <w:r>
        <w:rPr>
          <w:b/>
          <w:bCs/>
        </w:rPr>
        <w:t xml:space="preserve">Storage seam. </w:t>
      </w:r>
      <w:r>
        <w:t xml:space="preserve">Import Bridgify rows into integration_hub’s tables (simplest, modest duplication), expose Bridgify rows via a Postgres view (no copy, view-performance trade-off), or extend the dedup engine to read from both tables natively (cleanest, most code change)?</w:t>
      </w:r>
    </w:p>
    <w:p>
      <w:pPr>
        <w:pStyle w:val="ListParagraph"/>
        <w:numPr>
          <w:ilvl w:val="0"/>
          <w:numId w:val="3"/>
        </w:numPr>
        <w:spacing w:after="120"/>
      </w:pPr>
      <w:r>
        <w:rPr>
          <w:b/>
          <w:bCs/>
        </w:rPr>
        <w:t xml:space="preserve">Schema ownership. </w:t>
      </w:r>
      <w:r>
        <w:t xml:space="preserve">How do we govern changes to Bridgify’s Attraction schema when integration_hub depends on it? What’s the review process for cross-team schema migrations?</w:t>
      </w:r>
    </w:p>
    <w:p>
      <w:pPr>
        <w:pStyle w:val="ListParagraph"/>
        <w:numPr>
          <w:ilvl w:val="0"/>
          <w:numId w:val="3"/>
        </w:numPr>
        <w:spacing w:after="120"/>
      </w:pPr>
      <w:r>
        <w:rPr>
          <w:b/>
          <w:bCs/>
        </w:rPr>
        <w:t xml:space="preserve">Booking for new suppliers. </w:t>
      </w:r>
      <w:r>
        <w:t xml:space="preserve">Do new integration_hub-added suppliers get a Node-side Booker pattern (mirrors Bridgify’s), Python Bookers in the Bridgify repo, or a separate booking service?</w:t>
      </w:r>
    </w:p>
    <w:p>
      <w:pPr>
        <w:pStyle w:val="ListParagraph"/>
        <w:numPr>
          <w:ilvl w:val="0"/>
          <w:numId w:val="3"/>
        </w:numPr>
        <w:spacing w:after="120"/>
      </w:pPr>
      <w:r>
        <w:rPr>
          <w:b/>
          <w:bCs/>
        </w:rPr>
        <w:t xml:space="preserve">Default supplier home. </w:t>
      </w:r>
      <w:r>
        <w:t xml:space="preserve">When a new supplier is added, which stack does it default to? Likely “experiences default to Bridgify, non-experiences default to integration_hub,” but worth confirming and documenting.</w:t>
      </w:r>
    </w:p>
    <w:p>
      <w:pPr>
        <w:pStyle w:val="ListParagraph"/>
        <w:numPr>
          <w:ilvl w:val="0"/>
          <w:numId w:val="3"/>
        </w:numPr>
        <w:spacing w:after="120"/>
      </w:pPr>
      <w:r>
        <w:rPr>
          <w:b/>
          <w:bCs/>
        </w:rPr>
        <w:t xml:space="preserve">Operational maturity. </w:t>
      </w:r>
      <w:r>
        <w:t xml:space="preserve">integration_hub does not yet have Bridgify’s level of monitoring, alerting, and on-call infrastructure. What’s the plan to close that gap during the integration phases?</w:t>
      </w:r>
    </w:p>
    <w:p>
      <w:pPr>
        <w:pStyle w:val="ListParagraph"/>
        <w:numPr>
          <w:ilvl w:val="0"/>
          <w:numId w:val="3"/>
        </w:numPr>
        <w:spacing w:after="120"/>
      </w:pPr>
      <w:r>
        <w:rPr>
          <w:b/>
          <w:bCs/>
        </w:rPr>
        <w:t xml:space="preserve">Dedup architecture refresh. </w:t>
      </w:r>
      <w:r>
        <w:t xml:space="preserve">integration_hub’s current DEDUP_ARCHITECTURE.md was written assuming Bridgify is consumed as one upstream supplier. Under this proposal, Bridgify is a peer data source rather than a supplier; the doc needs updating to reflect that.</w:t>
      </w:r>
    </w:p>
    <w:p>
      <w:pPr>
        <w:pStyle w:val="Heading1"/>
        <w:spacing w:after="180" w:before="360"/>
      </w:pPr>
      <w:r>
        <w:t xml:space="preserve">Next Steps</w:t>
      </w:r>
    </w:p>
    <w:p>
      <w:pPr>
        <w:pStyle w:val="ListParagraph"/>
        <w:numPr>
          <w:ilvl w:val="0"/>
          <w:numId w:val="3"/>
        </w:numPr>
        <w:spacing w:after="120"/>
      </w:pPr>
      <w:r>
        <w:t xml:space="preserve">Circulate this draft to the team.</w:t>
      </w:r>
    </w:p>
    <w:p>
      <w:pPr>
        <w:pStyle w:val="ListParagraph"/>
        <w:numPr>
          <w:ilvl w:val="0"/>
          <w:numId w:val="3"/>
        </w:numPr>
        <w:spacing w:after="120"/>
      </w:pPr>
      <w:r>
        <w:t xml:space="preserve">Use the Open Questions section as the agenda for the architecture discussion.</w:t>
      </w:r>
    </w:p>
    <w:p>
      <w:pPr>
        <w:pStyle w:val="ListParagraph"/>
        <w:numPr>
          <w:ilvl w:val="0"/>
          <w:numId w:val="3"/>
        </w:numPr>
        <w:spacing w:after="120"/>
      </w:pPr>
      <w:r>
        <w:t xml:space="preserve">Decide on the storage seam (question 1) — that decision unblocks Phase 0 scoping.</w:t>
      </w:r>
    </w:p>
    <w:p>
      <w:pPr>
        <w:pStyle w:val="ListParagraph"/>
        <w:numPr>
          <w:ilvl w:val="0"/>
          <w:numId w:val="3"/>
        </w:numPr>
        <w:spacing w:after="120"/>
      </w:pPr>
      <w:r>
        <w:t xml:space="preserve">Confirm Phase 0 scope and a target start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integration_hub + Bridgify ETL: Proposed Architecture</dc:title>
  <dc:creator>Eran Moss</dc:creator>
  <cp:lastModifiedBy>Un-named</cp:lastModifiedBy>
  <cp:revision>1</cp:revision>
  <dcterms:created xsi:type="dcterms:W3CDTF">2026-04-30T15:12:12.009Z</dcterms:created>
  <dcterms:modified xsi:type="dcterms:W3CDTF">2026-04-30T15:12:12.009Z</dcterms:modified>
</cp:coreProperties>
</file>

<file path=docProps/custom.xml><?xml version="1.0" encoding="utf-8"?>
<Properties xmlns="http://schemas.openxmlformats.org/officeDocument/2006/custom-properties" xmlns:vt="http://schemas.openxmlformats.org/officeDocument/2006/docPropsVTypes"/>
</file>