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5D75EFE" w14:textId="77777777" w:rsidR="009014A9" w:rsidRDefault="00000000">
      <w:pPr>
        <w:spacing w:after="120"/>
      </w:pPr>
      <w:r>
        <w:rPr>
          <w:b/>
          <w:bCs/>
          <w:color w:val="1A3C5E"/>
          <w:sz w:val="52"/>
          <w:szCs w:val="52"/>
        </w:rPr>
        <w:t>Identity Governance &amp; Administration</w:t>
      </w:r>
    </w:p>
    <w:p w14:paraId="12641C41" w14:textId="77777777" w:rsidR="009014A9" w:rsidRDefault="00000000">
      <w:pPr>
        <w:spacing w:after="80"/>
      </w:pPr>
      <w:r>
        <w:rPr>
          <w:i/>
          <w:iCs/>
          <w:color w:val="555555"/>
          <w:sz w:val="26"/>
          <w:szCs w:val="26"/>
        </w:rPr>
        <w:t>Security Architecture</w:t>
      </w:r>
    </w:p>
    <w:p w14:paraId="259CA542" w14:textId="77777777" w:rsidR="009014A9" w:rsidRDefault="00000000">
      <w:pPr>
        <w:spacing w:after="60"/>
      </w:pPr>
      <w:r>
        <w:rPr>
          <w:color w:val="888888"/>
          <w:sz w:val="20"/>
          <w:szCs w:val="20"/>
        </w:rPr>
        <w:t xml:space="preserve">Version </w:t>
      </w:r>
      <w:proofErr w:type="gramStart"/>
      <w:r>
        <w:rPr>
          <w:color w:val="888888"/>
          <w:sz w:val="20"/>
          <w:szCs w:val="20"/>
        </w:rPr>
        <w:t>1.0  |</w:t>
      </w:r>
      <w:proofErr w:type="gramEnd"/>
      <w:r>
        <w:rPr>
          <w:color w:val="888888"/>
          <w:sz w:val="20"/>
          <w:szCs w:val="20"/>
        </w:rPr>
        <w:t xml:space="preserve">  March 2026</w:t>
      </w:r>
    </w:p>
    <w:p w14:paraId="057C9EEF" w14:textId="77777777" w:rsidR="009014A9" w:rsidRDefault="00000000">
      <w:pPr>
        <w:pBdr>
          <w:bottom w:val="single" w:sz="6" w:space="4" w:color="1A3C5E"/>
        </w:pBdr>
        <w:spacing w:after="300"/>
      </w:pPr>
      <w:r>
        <w:rPr>
          <w:b/>
          <w:bCs/>
          <w:sz w:val="20"/>
          <w:szCs w:val="20"/>
        </w:rPr>
        <w:t xml:space="preserve">Framework Alignment:  </w:t>
      </w:r>
      <w:r>
        <w:rPr>
          <w:sz w:val="20"/>
          <w:szCs w:val="20"/>
        </w:rPr>
        <w:t xml:space="preserve">NIST SP 800-53 Rev </w:t>
      </w:r>
      <w:proofErr w:type="gramStart"/>
      <w:r>
        <w:rPr>
          <w:sz w:val="20"/>
          <w:szCs w:val="20"/>
        </w:rPr>
        <w:t>5  |</w:t>
      </w:r>
      <w:proofErr w:type="gramEnd"/>
      <w:r>
        <w:rPr>
          <w:sz w:val="20"/>
          <w:szCs w:val="20"/>
        </w:rPr>
        <w:t xml:space="preserve">  NIST SP 800-207 (Zero </w:t>
      </w:r>
      <w:proofErr w:type="gramStart"/>
      <w:r>
        <w:rPr>
          <w:sz w:val="20"/>
          <w:szCs w:val="20"/>
        </w:rPr>
        <w:t>Trust)  |</w:t>
      </w:r>
      <w:proofErr w:type="gramEnd"/>
      <w:r>
        <w:rPr>
          <w:sz w:val="20"/>
          <w:szCs w:val="20"/>
        </w:rPr>
        <w:t xml:space="preserve">  MITRE ATT&amp;CK Enterprise</w:t>
      </w:r>
    </w:p>
    <w:p w14:paraId="18E9F504" w14:textId="77777777" w:rsidR="009014A9" w:rsidRDefault="00000000">
      <w:pPr>
        <w:pStyle w:val="Heading1"/>
        <w:pBdr>
          <w:bottom w:val="single" w:sz="6" w:space="1" w:color="1A3C5E"/>
        </w:pBdr>
      </w:pPr>
      <w:r>
        <w:rPr>
          <w:color w:val="1A3C5E"/>
        </w:rPr>
        <w:t>1. Executive Summary</w:t>
      </w:r>
    </w:p>
    <w:p w14:paraId="62696B26" w14:textId="77777777" w:rsidR="009014A9" w:rsidRDefault="00000000">
      <w:pPr>
        <w:spacing w:after="120"/>
      </w:pPr>
      <w:r>
        <w:t>Identity Governance and Administration (IGA) is what separates organizations that know what access exists from those that find out too late. When IGA works, every identity lifecycle event — new hire, role change, departure — drives immediate, automated changes in downstream systems. Access is provisioned correctly at day one, adjusted at transfer, and revoked at termination. When IGA is absent or underfunded, access accumulates silently until it appears in an incident report.</w:t>
      </w:r>
    </w:p>
    <w:p w14:paraId="014082B3" w14:textId="77777777" w:rsidR="009014A9" w:rsidRDefault="00000000">
      <w:pPr>
        <w:spacing w:after="120"/>
      </w:pPr>
      <w:r>
        <w:t>Without IGA, access accumulates. Employees change roles but retain prior entitlements, a phenomenon known as access creep. Terminated employees retain active accounts due to manual offboarding failures. Service accounts persist after the applications they support are decommissioned. Privileged roles are assigned permanently when temporary access was the intent. These access gaps are not edge cases; they are the systemic result of relying on manual processes for access management in organizations with hundreds of applications and thousands of users.</w:t>
      </w:r>
    </w:p>
    <w:p w14:paraId="22E2C41A" w14:textId="77777777" w:rsidR="009014A9" w:rsidRDefault="00000000">
      <w:pPr>
        <w:spacing w:after="120"/>
      </w:pPr>
      <w:r>
        <w:t>The consequences are severe. The 2023 Verizon Data Breach Investigations Report found that 74% of breaches involved the human element, including privilege misuse, stolen credentials, and social engineering — with excessive, stale, or orphaned access identified as a primary enabler of lateral movement after initial compromise. Regulatory frameworks including SOX, HIPAA, PCI DSS 4.0, and ISO 27001:2022 all require documented access certification and separation of duties controls, with audit evidence of quarterly or annual review cycles.</w:t>
      </w:r>
    </w:p>
    <w:p w14:paraId="7089E053" w14:textId="77777777" w:rsidR="009014A9" w:rsidRDefault="00000000">
      <w:pPr>
        <w:spacing w:after="120"/>
      </w:pPr>
      <w:r>
        <w:t xml:space="preserve">Modern IGA platforms have moved well past the spreadsheet era. Automated JML lifecycle management, AI-assisted certification campaigns, and real-time </w:t>
      </w:r>
      <w:proofErr w:type="spellStart"/>
      <w:r>
        <w:t>SoD</w:t>
      </w:r>
      <w:proofErr w:type="spellEnd"/>
      <w:r>
        <w:t xml:space="preserve"> enforcement are now baseline capabilities. The more significant shift is the convergence with PAM and CIEM — because governance that covers human access while ignoring privileged sessions and cloud machine identities is structurally incomplete.</w:t>
      </w:r>
    </w:p>
    <w:p w14:paraId="746FD569" w14:textId="77777777" w:rsidR="009014A9" w:rsidRDefault="00000000">
      <w:r>
        <w:br w:type="page"/>
      </w:r>
    </w:p>
    <w:p w14:paraId="015B0BF8" w14:textId="77777777" w:rsidR="009014A9" w:rsidRDefault="00000000">
      <w:pPr>
        <w:pStyle w:val="Heading1"/>
        <w:pBdr>
          <w:bottom w:val="single" w:sz="6" w:space="1" w:color="1A3C5E"/>
        </w:pBdr>
      </w:pPr>
      <w:r>
        <w:rPr>
          <w:color w:val="1A3C5E"/>
        </w:rPr>
        <w:lastRenderedPageBreak/>
        <w:t>2. Core IGA Concepts and Platform Architecture</w:t>
      </w:r>
    </w:p>
    <w:p w14:paraId="1CE6CF16" w14:textId="77777777" w:rsidR="009014A9" w:rsidRDefault="00000000">
      <w:pPr>
        <w:pStyle w:val="Heading2"/>
      </w:pPr>
      <w:r>
        <w:rPr>
          <w:color w:val="2E4B7A"/>
        </w:rPr>
        <w:t>2.1 The Identity Lifecycle: Joiner, Mover, Leaver (JML)</w:t>
      </w:r>
    </w:p>
    <w:p w14:paraId="5DA335FD" w14:textId="77777777" w:rsidR="009014A9" w:rsidRDefault="00000000">
      <w:pPr>
        <w:spacing w:after="120"/>
      </w:pPr>
      <w:r>
        <w:t>The identity lifecycle defines all state transitions for an identity from creation to deletion. The Joiner-Mover-Leaver (JML) framework is the foundational governance model:</w:t>
      </w:r>
    </w:p>
    <w:p w14:paraId="595B1CB0" w14:textId="77777777" w:rsidR="009014A9" w:rsidRDefault="00000000">
      <w:pPr>
        <w:pStyle w:val="ListParagraph"/>
        <w:numPr>
          <w:ilvl w:val="0"/>
          <w:numId w:val="2"/>
        </w:numPr>
        <w:spacing w:after="80"/>
      </w:pPr>
      <w:r>
        <w:t>Joiner: A new employee, contractor, or service account is created. IGA triggers provisioning workflows to create the user in downstream systems (Active Directory, LDAP, SaaS apps) and assign birthright entitlements based on role, department, and location. The authoritative source is the HR Management System (HRMS): Workday, SAP SuccessFactors, or Oracle HCM Cloud.</w:t>
      </w:r>
    </w:p>
    <w:p w14:paraId="17687224" w14:textId="77777777" w:rsidR="009014A9" w:rsidRDefault="00000000">
      <w:pPr>
        <w:pStyle w:val="ListParagraph"/>
        <w:numPr>
          <w:ilvl w:val="0"/>
          <w:numId w:val="2"/>
        </w:numPr>
        <w:spacing w:after="80"/>
      </w:pPr>
      <w:r>
        <w:t>Mover: A user changes role, department, manager, or location. IGA must remove entitlements no longer appropriate for the new role and provision entitlements required by the new role. Failure to revoke prior entitlements during a role change is the most common cause of access creep in enterprise environments.</w:t>
      </w:r>
    </w:p>
    <w:p w14:paraId="1CEF9FA1" w14:textId="77777777" w:rsidR="009014A9" w:rsidRDefault="00000000">
      <w:pPr>
        <w:pStyle w:val="ListParagraph"/>
        <w:numPr>
          <w:ilvl w:val="0"/>
          <w:numId w:val="2"/>
        </w:numPr>
        <w:spacing w:after="80"/>
      </w:pPr>
      <w:r>
        <w:t>Leaver: An employee terminates (voluntary or involuntary</w:t>
      </w:r>
      <w:proofErr w:type="gramStart"/>
      <w:r>
        <w:t>)</w:t>
      </w:r>
      <w:proofErr w:type="gramEnd"/>
      <w:r>
        <w:t xml:space="preserve"> or contractor engagement ends. IGA triggers immediate account suspension, revocation of all entitlements, session termination, and identity archival per data retention policy. HRMS-to-IGA integration is critical; manual offboarding processes commonly leave active accounts beyond the termination date.</w:t>
      </w:r>
    </w:p>
    <w:p w14:paraId="2FCBA115" w14:textId="77777777" w:rsidR="009014A9" w:rsidRDefault="00000000">
      <w:pPr>
        <w:spacing w:after="120"/>
      </w:pPr>
      <w:r>
        <w:t>NIST SP 800-53 Rev 5 AC-2 (Account Management) and PS-4 (Personnel Termination) require documented procedures ensuring no user account persists beyond the period of authorized access, and all access is removed within a defined SLA after a termination event.</w:t>
      </w:r>
    </w:p>
    <w:p w14:paraId="31EF61F2" w14:textId="77777777" w:rsidR="009014A9" w:rsidRDefault="00000000">
      <w:pPr>
        <w:pStyle w:val="Heading2"/>
      </w:pPr>
      <w:r>
        <w:rPr>
          <w:color w:val="2E4B7A"/>
        </w:rPr>
        <w:t>2.2 IGA Platform Architecture</w:t>
      </w:r>
    </w:p>
    <w:p w14:paraId="478D470C" w14:textId="77777777" w:rsidR="009014A9" w:rsidRDefault="00000000">
      <w:pPr>
        <w:spacing w:after="120"/>
      </w:pPr>
      <w:r>
        <w:t>An enterprise IGA platform integrates multiple functional components:</w:t>
      </w:r>
    </w:p>
    <w:p w14:paraId="11EB71CD" w14:textId="77777777" w:rsidR="009014A9" w:rsidRDefault="00000000">
      <w:pPr>
        <w:pStyle w:val="ListParagraph"/>
        <w:numPr>
          <w:ilvl w:val="0"/>
          <w:numId w:val="2"/>
        </w:numPr>
        <w:spacing w:after="80"/>
      </w:pPr>
      <w:r>
        <w:t>Identity Warehouse: A centralized repository aggregating identity data from all authoritative sources. Provides a unified view of all identities, their attributes, and their entitlements across all connected systems. Drives entitlement correlation, risk scoring, and orphan account detection.</w:t>
      </w:r>
    </w:p>
    <w:p w14:paraId="1079822B" w14:textId="77777777" w:rsidR="009014A9" w:rsidRDefault="00000000">
      <w:pPr>
        <w:pStyle w:val="ListParagraph"/>
        <w:numPr>
          <w:ilvl w:val="0"/>
          <w:numId w:val="2"/>
        </w:numPr>
        <w:spacing w:after="80"/>
      </w:pPr>
      <w:r>
        <w:t>Connector Framework: Pre-built and custom connectors to target systems (AD, LDAP, Salesforce, ServiceNow, AWS IAM, Azure, GitHub, Oracle, SAP). SCIM 2.0 (System for Cross-domain Identity Management), defined in RFC 7642, RFC 7643, and RFC 7644, is the modern open standard for connector communication via REST API over HTTPS.</w:t>
      </w:r>
    </w:p>
    <w:p w14:paraId="2083640B" w14:textId="77777777" w:rsidR="009014A9" w:rsidRDefault="00000000">
      <w:pPr>
        <w:pStyle w:val="ListParagraph"/>
        <w:numPr>
          <w:ilvl w:val="0"/>
          <w:numId w:val="2"/>
        </w:numPr>
        <w:spacing w:after="80"/>
      </w:pPr>
      <w:r>
        <w:t>Role Catalog: A structured inventory of all defined roles (job functions, IT roles, application roles) and the entitlements each role grants. The source of truth for birthright provisioning and role-based access decisions.</w:t>
      </w:r>
    </w:p>
    <w:p w14:paraId="6BA1CB37" w14:textId="77777777" w:rsidR="009014A9" w:rsidRDefault="00000000">
      <w:pPr>
        <w:pStyle w:val="ListParagraph"/>
        <w:numPr>
          <w:ilvl w:val="0"/>
          <w:numId w:val="2"/>
        </w:numPr>
        <w:spacing w:after="80"/>
      </w:pPr>
      <w:r>
        <w:t xml:space="preserve">Policy Engine: Enforces </w:t>
      </w:r>
      <w:proofErr w:type="spellStart"/>
      <w:r>
        <w:t>SoD</w:t>
      </w:r>
      <w:proofErr w:type="spellEnd"/>
      <w:r>
        <w:t xml:space="preserve"> rules, birthright provisioning policies, and access request approval workflows. Detects toxic combinations and generates violation alerts or preventive blocks at request time.</w:t>
      </w:r>
    </w:p>
    <w:p w14:paraId="38FDF94A" w14:textId="77777777" w:rsidR="009014A9" w:rsidRDefault="00000000">
      <w:pPr>
        <w:pStyle w:val="ListParagraph"/>
        <w:numPr>
          <w:ilvl w:val="0"/>
          <w:numId w:val="2"/>
        </w:numPr>
        <w:spacing w:after="80"/>
      </w:pPr>
      <w:r>
        <w:t>Workflow Engine: Orchestrates access request approvals, access certification campaigns, and provisioning/deprovisioning tasks. Multi-level approval workflows route requests to application owners, managers, and security teams based on policy.</w:t>
      </w:r>
    </w:p>
    <w:p w14:paraId="02514C8D" w14:textId="77777777" w:rsidR="009014A9" w:rsidRDefault="00000000">
      <w:pPr>
        <w:pStyle w:val="ListParagraph"/>
        <w:numPr>
          <w:ilvl w:val="0"/>
          <w:numId w:val="2"/>
        </w:numPr>
        <w:spacing w:after="80"/>
      </w:pPr>
      <w:r>
        <w:t>Certification Engine: Manages access review campaigns. Generates reviewer tasks, tracks completion, escalates non-responses, and records certification decisions (certify, revoke, exception) as audit evidence.</w:t>
      </w:r>
    </w:p>
    <w:p w14:paraId="03F26756" w14:textId="77777777" w:rsidR="009014A9" w:rsidRDefault="00000000">
      <w:pPr>
        <w:pStyle w:val="ListParagraph"/>
        <w:numPr>
          <w:ilvl w:val="0"/>
          <w:numId w:val="2"/>
        </w:numPr>
        <w:spacing w:after="80"/>
      </w:pPr>
      <w:r>
        <w:lastRenderedPageBreak/>
        <w:t xml:space="preserve">Analytics Engine: Risk scoring, peer group analysis, usage analytics, and AI-based certification recommendations. Identifies over-provisioned access, anomalous entitlement patterns, and </w:t>
      </w:r>
      <w:proofErr w:type="spellStart"/>
      <w:r>
        <w:t>SoD</w:t>
      </w:r>
      <w:proofErr w:type="spellEnd"/>
      <w:r>
        <w:t xml:space="preserve"> violations outside static rule scope.</w:t>
      </w:r>
    </w:p>
    <w:p w14:paraId="057304DF" w14:textId="77777777" w:rsidR="009014A9" w:rsidRDefault="00000000">
      <w:pPr>
        <w:pStyle w:val="Heading2"/>
      </w:pPr>
      <w:r>
        <w:rPr>
          <w:color w:val="2E4B7A"/>
        </w:rPr>
        <w:t>2.3 Birthright Provisioning</w:t>
      </w:r>
    </w:p>
    <w:p w14:paraId="288E9315" w14:textId="77777777" w:rsidR="009014A9" w:rsidRDefault="00000000">
      <w:pPr>
        <w:spacing w:after="120"/>
      </w:pPr>
      <w:r>
        <w:t>Birthright provisioning is the automatic assignment of baseline entitlements to a new identity based on HR attributes at the Joiner event. Design principles:</w:t>
      </w:r>
    </w:p>
    <w:p w14:paraId="00AD680F" w14:textId="77777777" w:rsidR="009014A9" w:rsidRDefault="00000000">
      <w:pPr>
        <w:pStyle w:val="ListParagraph"/>
        <w:numPr>
          <w:ilvl w:val="0"/>
          <w:numId w:val="2"/>
        </w:numPr>
        <w:spacing w:after="80"/>
      </w:pPr>
      <w:r>
        <w:t>Map birthright entitlements to HR attributes in a provisioning policy matrix: job code, department, cost center, location, and employment type. When an HRMS Joiner event fires, the IGA platform reads these attributes and automatically provisions the identity to appropriate systems with appropriate access levels.</w:t>
      </w:r>
    </w:p>
    <w:p w14:paraId="177DC288" w14:textId="77777777" w:rsidR="009014A9" w:rsidRDefault="00000000">
      <w:pPr>
        <w:pStyle w:val="ListParagraph"/>
        <w:numPr>
          <w:ilvl w:val="0"/>
          <w:numId w:val="2"/>
        </w:numPr>
        <w:spacing w:after="80"/>
      </w:pPr>
      <w:r>
        <w:t>Separate birthright access (automatically provisioned, no approval required) from elevated access (requires formal access request and approval workflow). Birthright policies must represent the true minimum baseline, not maximum convenience access.</w:t>
      </w:r>
    </w:p>
    <w:p w14:paraId="4E9CAAA5" w14:textId="77777777" w:rsidR="009014A9" w:rsidRDefault="00000000">
      <w:pPr>
        <w:pStyle w:val="ListParagraph"/>
        <w:numPr>
          <w:ilvl w:val="0"/>
          <w:numId w:val="2"/>
        </w:numPr>
        <w:spacing w:after="80"/>
      </w:pPr>
      <w:r>
        <w:t>Birthright provisioning policies require quarterly review. IT administrators commonly add entitlements to convenience mappings rather than requiring formal requests, causing all new hires in a department to receive unnecessary elevated access from day one. This is a systemic risk that accumulates silently.</w:t>
      </w:r>
    </w:p>
    <w:p w14:paraId="6B4B515B" w14:textId="77777777" w:rsidR="009014A9" w:rsidRDefault="00000000">
      <w:pPr>
        <w:pStyle w:val="Heading2"/>
      </w:pPr>
      <w:r>
        <w:rPr>
          <w:color w:val="2E4B7A"/>
        </w:rPr>
        <w:t>2.4 Role Management and Role Mining</w:t>
      </w:r>
    </w:p>
    <w:p w14:paraId="437D12F5" w14:textId="77777777" w:rsidR="009014A9" w:rsidRDefault="00000000">
      <w:pPr>
        <w:spacing w:after="120"/>
      </w:pPr>
      <w:r>
        <w:t>Effective role management is foundational to IGA. Role lifecycle management encompasses creation, approval, publication, assignment, review, and retirement:</w:t>
      </w:r>
    </w:p>
    <w:p w14:paraId="304D276F" w14:textId="77777777" w:rsidR="009014A9" w:rsidRDefault="00000000">
      <w:pPr>
        <w:pStyle w:val="ListParagraph"/>
        <w:numPr>
          <w:ilvl w:val="0"/>
          <w:numId w:val="2"/>
        </w:numPr>
        <w:spacing w:after="80"/>
      </w:pPr>
      <w:r>
        <w:t>Role Mining (Bottom-Up): Analysis of existing access patterns across current users to identify natural role groupings. Mining algorithms analyze correlations between users' actual entitlements and their organizational attributes to suggest role definitions reflecting real access patterns.</w:t>
      </w:r>
    </w:p>
    <w:p w14:paraId="1AEE8C6B" w14:textId="77777777" w:rsidR="009014A9" w:rsidRDefault="00000000">
      <w:pPr>
        <w:pStyle w:val="ListParagraph"/>
        <w:numPr>
          <w:ilvl w:val="0"/>
          <w:numId w:val="2"/>
        </w:numPr>
        <w:spacing w:after="80"/>
      </w:pPr>
      <w:r>
        <w:t>Role Engineering (Top-Down): Design of roles aligned to job functions defined by HR and business owners. More governance-aligned than mining but requires active business owner participation and strong organizational data quality.</w:t>
      </w:r>
    </w:p>
    <w:p w14:paraId="4C8D9619" w14:textId="77777777" w:rsidR="009014A9" w:rsidRDefault="00000000">
      <w:pPr>
        <w:pStyle w:val="ListParagraph"/>
        <w:numPr>
          <w:ilvl w:val="0"/>
          <w:numId w:val="2"/>
        </w:numPr>
        <w:spacing w:after="80"/>
      </w:pPr>
      <w:r>
        <w:t>Role Explosion: A failure mode where the role catalog grows to thousands of roles because fine-grained variations are modeled as separate roles rather than using attribute-based conditions. Addressed by defining a maximum role count target, using ABAC attributes for dynamic differentiation, and regularly auditing unused roles for retirement.</w:t>
      </w:r>
    </w:p>
    <w:p w14:paraId="6EC423E2" w14:textId="77777777" w:rsidR="009014A9" w:rsidRDefault="00000000">
      <w:pPr>
        <w:pStyle w:val="ListParagraph"/>
        <w:numPr>
          <w:ilvl w:val="0"/>
          <w:numId w:val="2"/>
        </w:numPr>
        <w:spacing w:after="80"/>
      </w:pPr>
      <w:r>
        <w:t>Role Certification: Periodic review (typically annual) by role owners to confirm that role definitions, memberships, and associated entitlements remain appropriate and aligned to current business functions.</w:t>
      </w:r>
    </w:p>
    <w:p w14:paraId="75A17708" w14:textId="77777777" w:rsidR="009014A9" w:rsidRDefault="00000000">
      <w:r>
        <w:br w:type="page"/>
      </w:r>
    </w:p>
    <w:p w14:paraId="4E605754" w14:textId="77777777" w:rsidR="009014A9" w:rsidRDefault="00000000">
      <w:pPr>
        <w:pStyle w:val="Heading1"/>
        <w:pBdr>
          <w:bottom w:val="single" w:sz="6" w:space="1" w:color="1A3C5E"/>
        </w:pBdr>
      </w:pPr>
      <w:r>
        <w:rPr>
          <w:color w:val="1A3C5E"/>
        </w:rPr>
        <w:lastRenderedPageBreak/>
        <w:t>3. Access Certification and Access Reviews</w:t>
      </w:r>
    </w:p>
    <w:p w14:paraId="6103213B" w14:textId="77777777" w:rsidR="009014A9" w:rsidRDefault="00000000">
      <w:pPr>
        <w:pStyle w:val="Heading2"/>
      </w:pPr>
      <w:r>
        <w:rPr>
          <w:color w:val="2E4B7A"/>
        </w:rPr>
        <w:t>3.1 Certification Campaign Types</w:t>
      </w:r>
    </w:p>
    <w:p w14:paraId="501ECDF7" w14:textId="77777777" w:rsidR="009014A9" w:rsidRDefault="00000000">
      <w:pPr>
        <w:spacing w:after="120"/>
      </w:pPr>
      <w:r>
        <w:t>Access certification is the formal process of reviewing and confirming or revoking assigned access. Campaign types by scope:</w:t>
      </w:r>
    </w:p>
    <w:p w14:paraId="48D06E65" w14:textId="77777777" w:rsidR="009014A9" w:rsidRDefault="00000000">
      <w:pPr>
        <w:pStyle w:val="ListParagraph"/>
        <w:numPr>
          <w:ilvl w:val="0"/>
          <w:numId w:val="2"/>
        </w:numPr>
        <w:spacing w:after="80"/>
      </w:pPr>
      <w:r>
        <w:t>User Access Certification: Review of all entitlements assigned to each user within scope. Reviewers (managers and application owners) confirm each entitlement remains appropriate. The broadest certification type; required by SOX, PCI DSS 4.0, and HIPAA auditors as evidence of periodic review.</w:t>
      </w:r>
    </w:p>
    <w:p w14:paraId="7F280795" w14:textId="77777777" w:rsidR="009014A9" w:rsidRDefault="00000000">
      <w:pPr>
        <w:pStyle w:val="ListParagraph"/>
        <w:numPr>
          <w:ilvl w:val="0"/>
          <w:numId w:val="2"/>
        </w:numPr>
        <w:spacing w:after="80"/>
      </w:pPr>
      <w:r>
        <w:t>Role Certification: Review of the entitlements bundled within each role definition and of which users hold each role. Role owners certify role definitions; managers certify role assignments.</w:t>
      </w:r>
    </w:p>
    <w:p w14:paraId="3DB7D8BD" w14:textId="77777777" w:rsidR="009014A9" w:rsidRDefault="00000000">
      <w:pPr>
        <w:pStyle w:val="ListParagraph"/>
        <w:numPr>
          <w:ilvl w:val="0"/>
          <w:numId w:val="2"/>
        </w:numPr>
        <w:spacing w:after="80"/>
      </w:pPr>
      <w:r>
        <w:t>Entitlement Certification: Review of all users assigned to a specific high-risk entitlement (Domain Admins group, production database access). Triggered by risk-driven campaigns targeting sensitive access concentrations.</w:t>
      </w:r>
    </w:p>
    <w:p w14:paraId="51029D01" w14:textId="77777777" w:rsidR="009014A9" w:rsidRDefault="00000000">
      <w:pPr>
        <w:pStyle w:val="ListParagraph"/>
        <w:numPr>
          <w:ilvl w:val="0"/>
          <w:numId w:val="2"/>
        </w:numPr>
        <w:spacing w:after="80"/>
      </w:pPr>
      <w:r>
        <w:t>Application Certification: Review of all user access within a specific application, directed to the application owner. Common for SaaS applications where the IGA platform generates a campaign scoped to the application's user base.</w:t>
      </w:r>
    </w:p>
    <w:p w14:paraId="6C4E211A" w14:textId="77777777" w:rsidR="009014A9" w:rsidRDefault="00000000">
      <w:pPr>
        <w:pStyle w:val="Heading2"/>
      </w:pPr>
      <w:r>
        <w:rPr>
          <w:color w:val="2E4B7A"/>
        </w:rPr>
        <w:t>3.2 Certification Campaign Design</w:t>
      </w:r>
    </w:p>
    <w:p w14:paraId="0C58D850" w14:textId="77777777" w:rsidR="009014A9" w:rsidRDefault="00000000">
      <w:pPr>
        <w:spacing w:after="120"/>
      </w:pPr>
      <w:r>
        <w:t>Campaigns must be designed for quality completion, not just checkbox compliance:</w:t>
      </w:r>
    </w:p>
    <w:p w14:paraId="476F1DE6" w14:textId="77777777" w:rsidR="009014A9" w:rsidRDefault="00000000">
      <w:pPr>
        <w:pStyle w:val="ListParagraph"/>
        <w:numPr>
          <w:ilvl w:val="0"/>
          <w:numId w:val="2"/>
        </w:numPr>
        <w:spacing w:after="80"/>
      </w:pPr>
      <w:r>
        <w:t xml:space="preserve">Risk-tiered frequency: Certify high-risk entitlements (privileged access, access to PII or financial data, </w:t>
      </w:r>
      <w:proofErr w:type="spellStart"/>
      <w:r>
        <w:t>SoD</w:t>
      </w:r>
      <w:proofErr w:type="spellEnd"/>
      <w:r>
        <w:t xml:space="preserve"> conflict roles) quarterly. Certify standard entitlements annually. Over-certifying low-risk access creates reviewer fatigue that degrades the quality of all reviews.</w:t>
      </w:r>
    </w:p>
    <w:p w14:paraId="0CDADA2C" w14:textId="77777777" w:rsidR="009014A9" w:rsidRDefault="00000000">
      <w:pPr>
        <w:pStyle w:val="ListParagraph"/>
        <w:numPr>
          <w:ilvl w:val="0"/>
          <w:numId w:val="2"/>
        </w:numPr>
        <w:spacing w:after="80"/>
      </w:pPr>
      <w:r>
        <w:t xml:space="preserve">AI-assisted recommendations: Modern IGA platforms (SailPoint AI Recommendations, Saviynt Analytics-Driven Recommendations) provide reviewers with certify/revoke recommendations based on peer group analysis, last-used date, and risk scoring. Recommendation-assisted </w:t>
      </w:r>
      <w:proofErr w:type="gramStart"/>
      <w:r>
        <w:t>reviewers</w:t>
      </w:r>
      <w:proofErr w:type="gramEnd"/>
      <w:r>
        <w:t xml:space="preserve"> complete campaigns faster and with greater accuracy.</w:t>
      </w:r>
    </w:p>
    <w:p w14:paraId="42F086C0" w14:textId="77777777" w:rsidR="009014A9" w:rsidRDefault="00000000">
      <w:pPr>
        <w:pStyle w:val="ListParagraph"/>
        <w:numPr>
          <w:ilvl w:val="0"/>
          <w:numId w:val="2"/>
        </w:numPr>
        <w:spacing w:after="80"/>
      </w:pPr>
      <w:r>
        <w:t>Escalation and auto-revocation: Non-responses after 7 days escalate to the reviewer's manager. Access not certified within the campaign window is automatically suspended, not merely flagged. This enforcement mechanism is what makes certification a real control rather than a compliance exercise.</w:t>
      </w:r>
    </w:p>
    <w:p w14:paraId="206E5981" w14:textId="77777777" w:rsidR="009014A9" w:rsidRDefault="00000000">
      <w:pPr>
        <w:pStyle w:val="ListParagraph"/>
        <w:numPr>
          <w:ilvl w:val="0"/>
          <w:numId w:val="2"/>
        </w:numPr>
        <w:spacing w:after="80"/>
      </w:pPr>
      <w:r>
        <w:t xml:space="preserve">Exception management: Business exceptions for </w:t>
      </w:r>
      <w:proofErr w:type="spellStart"/>
      <w:r>
        <w:t>SoD</w:t>
      </w:r>
      <w:proofErr w:type="spellEnd"/>
      <w:r>
        <w:t xml:space="preserve"> conflicts or sensitive access require formal justification, approver sign-off, compensating control documentation, and a defined expiry date. All exceptions recorded in IGA for audit evidence.</w:t>
      </w:r>
    </w:p>
    <w:p w14:paraId="446C76F7" w14:textId="77777777" w:rsidR="009014A9" w:rsidRDefault="00000000">
      <w:pPr>
        <w:pStyle w:val="Heading2"/>
      </w:pPr>
      <w:r>
        <w:rPr>
          <w:color w:val="2E4B7A"/>
        </w:rPr>
        <w:t>3.3 Orphaned Account Detection and Remediation</w:t>
      </w:r>
    </w:p>
    <w:p w14:paraId="101CB80D" w14:textId="77777777" w:rsidR="009014A9" w:rsidRDefault="00000000">
      <w:pPr>
        <w:spacing w:after="120"/>
      </w:pPr>
      <w:r>
        <w:t>Orphaned accounts are active accounts with no corresponding active identity in the identity warehouse. Primary causes: failed offboarding, service account accumulation after decommissioning, and contractor accounts created without expiry dates.</w:t>
      </w:r>
    </w:p>
    <w:p w14:paraId="38CD87CA" w14:textId="77777777" w:rsidR="009014A9" w:rsidRDefault="00000000">
      <w:pPr>
        <w:pStyle w:val="ListParagraph"/>
        <w:numPr>
          <w:ilvl w:val="0"/>
          <w:numId w:val="2"/>
        </w:numPr>
        <w:spacing w:after="80"/>
      </w:pPr>
      <w:r>
        <w:t xml:space="preserve">IGA detection: Automated correlation matches accounts in all target systems against the current identity warehouse. Any account with no matching active identity is flagged as orphaned and routed to an owner for review. NIST SP 800-53 AC-2(3) requires disabling </w:t>
      </w:r>
      <w:r>
        <w:lastRenderedPageBreak/>
        <w:t>accounts after an organization-defined inactivity period; many regulated environments implement 90-day thresholds, but the control is intentionally flexible to accommodate operational requirements.</w:t>
      </w:r>
    </w:p>
    <w:p w14:paraId="3FDF2BA5" w14:textId="77777777" w:rsidR="009014A9" w:rsidRDefault="00000000">
      <w:pPr>
        <w:pStyle w:val="ListParagraph"/>
        <w:numPr>
          <w:ilvl w:val="0"/>
          <w:numId w:val="2"/>
        </w:numPr>
        <w:spacing w:after="80"/>
      </w:pPr>
      <w:r>
        <w:t>Service account governance: Service accounts must be inventoried, assigned an owner, enrolled in a secrets management system, and included in periodic certification. Unowned service accounts are treated as critical findings requiring immediate remediation.</w:t>
      </w:r>
    </w:p>
    <w:p w14:paraId="6F9A3BEB" w14:textId="77777777" w:rsidR="009014A9" w:rsidRDefault="00000000">
      <w:pPr>
        <w:pStyle w:val="ListParagraph"/>
        <w:numPr>
          <w:ilvl w:val="0"/>
          <w:numId w:val="2"/>
        </w:numPr>
        <w:spacing w:after="80"/>
      </w:pPr>
      <w:r>
        <w:t>Contractor expiry: All contractor and vendor accounts provisioned with explicit expiry dates. IGA automatically suspends accounts at the expiry date; extension requires a formal access request re-approval through the standard workflow.</w:t>
      </w:r>
    </w:p>
    <w:p w14:paraId="0AF9A48E" w14:textId="77777777" w:rsidR="009014A9" w:rsidRDefault="00000000">
      <w:r>
        <w:br w:type="page"/>
      </w:r>
    </w:p>
    <w:p w14:paraId="262A8A91" w14:textId="77777777" w:rsidR="009014A9" w:rsidRDefault="00000000">
      <w:pPr>
        <w:pStyle w:val="Heading1"/>
        <w:pBdr>
          <w:bottom w:val="single" w:sz="6" w:space="1" w:color="1A3C5E"/>
        </w:pBdr>
      </w:pPr>
      <w:r>
        <w:rPr>
          <w:color w:val="1A3C5E"/>
        </w:rPr>
        <w:lastRenderedPageBreak/>
        <w:t>4. Separation of Duties (</w:t>
      </w:r>
      <w:proofErr w:type="spellStart"/>
      <w:r>
        <w:rPr>
          <w:color w:val="1A3C5E"/>
        </w:rPr>
        <w:t>SoD</w:t>
      </w:r>
      <w:proofErr w:type="spellEnd"/>
      <w:r>
        <w:rPr>
          <w:color w:val="1A3C5E"/>
        </w:rPr>
        <w:t>)</w:t>
      </w:r>
    </w:p>
    <w:p w14:paraId="4912B23E" w14:textId="77777777" w:rsidR="009014A9" w:rsidRDefault="00000000">
      <w:pPr>
        <w:pStyle w:val="Heading2"/>
      </w:pPr>
      <w:r>
        <w:rPr>
          <w:color w:val="2E4B7A"/>
        </w:rPr>
        <w:t xml:space="preserve">4.1 </w:t>
      </w:r>
      <w:proofErr w:type="spellStart"/>
      <w:r>
        <w:rPr>
          <w:color w:val="2E4B7A"/>
        </w:rPr>
        <w:t>SoD</w:t>
      </w:r>
      <w:proofErr w:type="spellEnd"/>
      <w:r>
        <w:rPr>
          <w:color w:val="2E4B7A"/>
        </w:rPr>
        <w:t xml:space="preserve"> Fundamentals</w:t>
      </w:r>
    </w:p>
    <w:p w14:paraId="6D4CDEFE" w14:textId="77777777" w:rsidR="009014A9" w:rsidRDefault="00000000">
      <w:pPr>
        <w:spacing w:after="120"/>
      </w:pPr>
      <w:r>
        <w:t>Separation of Duties (</w:t>
      </w:r>
      <w:proofErr w:type="spellStart"/>
      <w:r>
        <w:t>SoD</w:t>
      </w:r>
      <w:proofErr w:type="spellEnd"/>
      <w:r>
        <w:t xml:space="preserve">) is the internal control principle requiring that no single individual can execute and approve a high-risk transaction without a second independent party. </w:t>
      </w:r>
      <w:proofErr w:type="spellStart"/>
      <w:r>
        <w:t>SoD</w:t>
      </w:r>
      <w:proofErr w:type="spellEnd"/>
      <w:r>
        <w:t xml:space="preserve"> is mandated by SOX Section 404, PCI DSS Req 7, ISO 27001:2022 Control A.5.3, and NIST SP 800-53 AC-5. Key definitions:</w:t>
      </w:r>
    </w:p>
    <w:p w14:paraId="3913BABF" w14:textId="77777777" w:rsidR="009014A9" w:rsidRDefault="00000000">
      <w:pPr>
        <w:pStyle w:val="ListParagraph"/>
        <w:numPr>
          <w:ilvl w:val="0"/>
          <w:numId w:val="2"/>
        </w:numPr>
        <w:spacing w:after="80"/>
      </w:pPr>
      <w:r>
        <w:t xml:space="preserve">Toxic combination: Two or more entitlements assigned to the same user that together create a </w:t>
      </w:r>
      <w:proofErr w:type="spellStart"/>
      <w:r>
        <w:t>SoD</w:t>
      </w:r>
      <w:proofErr w:type="spellEnd"/>
      <w:r>
        <w:t xml:space="preserve"> conflict. Example: a user who can both create and approve purchase orders in the ERP can approve fraudulent transactions without oversight.</w:t>
      </w:r>
    </w:p>
    <w:p w14:paraId="44F0109F" w14:textId="77777777" w:rsidR="009014A9" w:rsidRDefault="00000000">
      <w:pPr>
        <w:pStyle w:val="ListParagraph"/>
        <w:numPr>
          <w:ilvl w:val="0"/>
          <w:numId w:val="2"/>
        </w:numPr>
        <w:spacing w:after="80"/>
      </w:pPr>
      <w:r>
        <w:t xml:space="preserve">Preventive </w:t>
      </w:r>
      <w:proofErr w:type="spellStart"/>
      <w:r>
        <w:t>SoD</w:t>
      </w:r>
      <w:proofErr w:type="spellEnd"/>
      <w:r>
        <w:t xml:space="preserve"> control: Policy enforcement that blocks access requests that would create a </w:t>
      </w:r>
      <w:proofErr w:type="spellStart"/>
      <w:r>
        <w:t>SoD</w:t>
      </w:r>
      <w:proofErr w:type="spellEnd"/>
      <w:r>
        <w:t xml:space="preserve"> conflict at the point of request or provisioning. The conflicting entitlement cannot be granted.</w:t>
      </w:r>
    </w:p>
    <w:p w14:paraId="48BA786E" w14:textId="77777777" w:rsidR="009014A9" w:rsidRDefault="00000000">
      <w:pPr>
        <w:pStyle w:val="ListParagraph"/>
        <w:numPr>
          <w:ilvl w:val="0"/>
          <w:numId w:val="2"/>
        </w:numPr>
        <w:spacing w:after="80"/>
      </w:pPr>
      <w:r>
        <w:t xml:space="preserve">Detective </w:t>
      </w:r>
      <w:proofErr w:type="spellStart"/>
      <w:r>
        <w:t>SoD</w:t>
      </w:r>
      <w:proofErr w:type="spellEnd"/>
      <w:r>
        <w:t xml:space="preserve"> control: Continuous monitoring of entitlement assignments to identify existing violations. Violations are reported and routed through certification or emergency deprovisioning.</w:t>
      </w:r>
    </w:p>
    <w:p w14:paraId="34AAF78B" w14:textId="77777777" w:rsidR="009014A9" w:rsidRDefault="00000000">
      <w:pPr>
        <w:pStyle w:val="ListParagraph"/>
        <w:numPr>
          <w:ilvl w:val="0"/>
          <w:numId w:val="2"/>
        </w:numPr>
        <w:spacing w:after="80"/>
      </w:pPr>
      <w:proofErr w:type="spellStart"/>
      <w:r>
        <w:t>SoD</w:t>
      </w:r>
      <w:proofErr w:type="spellEnd"/>
      <w:r>
        <w:t xml:space="preserve"> exception: A documented business justification for allowing a conflict for a specific user. Requires management approval, compensating controls (transaction monitoring, </w:t>
      </w:r>
      <w:proofErr w:type="gramStart"/>
      <w:r>
        <w:t>dual-approval</w:t>
      </w:r>
      <w:proofErr w:type="gramEnd"/>
      <w:r>
        <w:t xml:space="preserve"> at the application level), and a defined review period.</w:t>
      </w:r>
    </w:p>
    <w:p w14:paraId="1DE75256" w14:textId="77777777" w:rsidR="009014A9" w:rsidRDefault="00000000">
      <w:pPr>
        <w:pStyle w:val="Heading2"/>
      </w:pPr>
      <w:r>
        <w:rPr>
          <w:color w:val="2E4B7A"/>
        </w:rPr>
        <w:t xml:space="preserve">4.2 </w:t>
      </w:r>
      <w:proofErr w:type="spellStart"/>
      <w:r>
        <w:rPr>
          <w:color w:val="2E4B7A"/>
        </w:rPr>
        <w:t>SoD</w:t>
      </w:r>
      <w:proofErr w:type="spellEnd"/>
      <w:r>
        <w:rPr>
          <w:color w:val="2E4B7A"/>
        </w:rPr>
        <w:t xml:space="preserve"> Rule Library Design</w:t>
      </w:r>
    </w:p>
    <w:p w14:paraId="4E4E619E" w14:textId="77777777" w:rsidR="009014A9" w:rsidRDefault="00000000">
      <w:pPr>
        <w:spacing w:after="120"/>
      </w:pPr>
      <w:r>
        <w:t xml:space="preserve">The </w:t>
      </w:r>
      <w:proofErr w:type="spellStart"/>
      <w:r>
        <w:t>SoD</w:t>
      </w:r>
      <w:proofErr w:type="spellEnd"/>
      <w:r>
        <w:t xml:space="preserve"> rule library defines all conflicting entitlement pairs across business-critical applications:</w:t>
      </w:r>
    </w:p>
    <w:p w14:paraId="3003C2F7" w14:textId="77777777" w:rsidR="009014A9" w:rsidRDefault="00000000">
      <w:pPr>
        <w:pStyle w:val="ListParagraph"/>
        <w:numPr>
          <w:ilvl w:val="0"/>
          <w:numId w:val="2"/>
        </w:numPr>
        <w:spacing w:after="80"/>
      </w:pPr>
      <w:r>
        <w:t xml:space="preserve">Business ownership: </w:t>
      </w:r>
      <w:proofErr w:type="spellStart"/>
      <w:r>
        <w:t>SoD</w:t>
      </w:r>
      <w:proofErr w:type="spellEnd"/>
      <w:r>
        <w:t xml:space="preserve"> rules must be defined by the business process owner (Finance, Procurement, HR), not IT. IT implements and enforces the rules; the business determines which combinations are genuinely conflicting. Purely IT-defined rules frequently over-block legitimate access or miss real business conflicts.</w:t>
      </w:r>
    </w:p>
    <w:p w14:paraId="1B5B4C08" w14:textId="77777777" w:rsidR="009014A9" w:rsidRDefault="00000000">
      <w:pPr>
        <w:pStyle w:val="ListParagraph"/>
        <w:numPr>
          <w:ilvl w:val="0"/>
          <w:numId w:val="2"/>
        </w:numPr>
        <w:spacing w:after="80"/>
      </w:pPr>
      <w:r>
        <w:t xml:space="preserve">Cross-application </w:t>
      </w:r>
      <w:proofErr w:type="spellStart"/>
      <w:r>
        <w:t>SoD</w:t>
      </w:r>
      <w:proofErr w:type="spellEnd"/>
      <w:r>
        <w:t xml:space="preserve">: The most dangerous conflicts span application boundaries. A user with Create Vendor access in SAP ERP and Approve Payment access in a separate treasury system can commit fraud across both systems. Cross-application </w:t>
      </w:r>
      <w:proofErr w:type="spellStart"/>
      <w:r>
        <w:t>SoD</w:t>
      </w:r>
      <w:proofErr w:type="spellEnd"/>
      <w:r>
        <w:t xml:space="preserve"> requires the IGA platform to correlate entitlements across all connected systems in a unified entitlement model.</w:t>
      </w:r>
    </w:p>
    <w:p w14:paraId="1880A1A1" w14:textId="77777777" w:rsidR="009014A9" w:rsidRDefault="00000000">
      <w:pPr>
        <w:pStyle w:val="ListParagraph"/>
        <w:numPr>
          <w:ilvl w:val="0"/>
          <w:numId w:val="2"/>
        </w:numPr>
        <w:spacing w:after="80"/>
      </w:pPr>
      <w:r>
        <w:t xml:space="preserve">Vendor-managed rule packs: ERP vendors publish standard </w:t>
      </w:r>
      <w:proofErr w:type="spellStart"/>
      <w:r>
        <w:t>SoD</w:t>
      </w:r>
      <w:proofErr w:type="spellEnd"/>
      <w:r>
        <w:t xml:space="preserve"> rule libraries. SAP GRC Access Control and Oracle Risk Management provide pre-built </w:t>
      </w:r>
      <w:proofErr w:type="spellStart"/>
      <w:r>
        <w:t>SoD</w:t>
      </w:r>
      <w:proofErr w:type="spellEnd"/>
      <w:r>
        <w:t xml:space="preserve"> rule sets aligned to standard financial audit controls, importable into IGA platforms.</w:t>
      </w:r>
    </w:p>
    <w:p w14:paraId="19C56559" w14:textId="77777777" w:rsidR="009014A9" w:rsidRDefault="00000000">
      <w:pPr>
        <w:pStyle w:val="ListParagraph"/>
        <w:numPr>
          <w:ilvl w:val="0"/>
          <w:numId w:val="2"/>
        </w:numPr>
        <w:spacing w:after="80"/>
      </w:pPr>
      <w:r>
        <w:t xml:space="preserve">Rule lifecycle management: New application entitlements and upgrades must be evaluated against the </w:t>
      </w:r>
      <w:proofErr w:type="spellStart"/>
      <w:r>
        <w:t>SoD</w:t>
      </w:r>
      <w:proofErr w:type="spellEnd"/>
      <w:r>
        <w:t xml:space="preserve"> rule library. Application upgrades changing permission names can silently break existing </w:t>
      </w:r>
      <w:proofErr w:type="spellStart"/>
      <w:r>
        <w:t>SoD</w:t>
      </w:r>
      <w:proofErr w:type="spellEnd"/>
      <w:r>
        <w:t xml:space="preserve"> mappings if not retested after each change.</w:t>
      </w:r>
    </w:p>
    <w:p w14:paraId="44CDC23A" w14:textId="77777777" w:rsidR="009014A9" w:rsidRDefault="00000000">
      <w:pPr>
        <w:pStyle w:val="Heading2"/>
      </w:pPr>
      <w:r>
        <w:rPr>
          <w:color w:val="2E4B7A"/>
        </w:rPr>
        <w:t xml:space="preserve">4.3 </w:t>
      </w:r>
      <w:proofErr w:type="spellStart"/>
      <w:r>
        <w:rPr>
          <w:color w:val="2E4B7A"/>
        </w:rPr>
        <w:t>SoD</w:t>
      </w:r>
      <w:proofErr w:type="spellEnd"/>
      <w:r>
        <w:rPr>
          <w:color w:val="2E4B7A"/>
        </w:rPr>
        <w:t xml:space="preserve"> Remediation Workflow</w:t>
      </w:r>
    </w:p>
    <w:p w14:paraId="24A0FC12" w14:textId="77777777" w:rsidR="009014A9" w:rsidRDefault="00000000">
      <w:pPr>
        <w:spacing w:after="120"/>
      </w:pPr>
      <w:r>
        <w:t>Detected violations route through a structured remediation process:</w:t>
      </w:r>
    </w:p>
    <w:p w14:paraId="4EF2FF94" w14:textId="77777777" w:rsidR="009014A9" w:rsidRDefault="00000000">
      <w:pPr>
        <w:pStyle w:val="ListParagraph"/>
        <w:numPr>
          <w:ilvl w:val="0"/>
          <w:numId w:val="2"/>
        </w:numPr>
        <w:spacing w:after="80"/>
      </w:pPr>
      <w:r>
        <w:t>Violation triage by risk: Critical violations (Create and Approve in financial ERP) escalate immediately. Lower-risk violations are managed within scheduled certification campaigns. Risk scoring is based on the financial or operational impact of the conflicting entitlement pair.</w:t>
      </w:r>
    </w:p>
    <w:p w14:paraId="5B439DB7" w14:textId="77777777" w:rsidR="009014A9" w:rsidRDefault="00000000">
      <w:pPr>
        <w:pStyle w:val="ListParagraph"/>
        <w:numPr>
          <w:ilvl w:val="0"/>
          <w:numId w:val="2"/>
        </w:numPr>
        <w:spacing w:after="80"/>
      </w:pPr>
      <w:r>
        <w:lastRenderedPageBreak/>
        <w:t>Remediation options: (1) Remove one conflicting entitlement; (2) request a formal exception with compensating controls documented; (3) confirm an existing compensating control already governs the conflict. All decisions logged with approver and timestamp.</w:t>
      </w:r>
    </w:p>
    <w:p w14:paraId="4C066439" w14:textId="77777777" w:rsidR="009014A9" w:rsidRDefault="00000000">
      <w:pPr>
        <w:pStyle w:val="ListParagraph"/>
        <w:numPr>
          <w:ilvl w:val="0"/>
          <w:numId w:val="2"/>
        </w:numPr>
        <w:spacing w:after="80"/>
      </w:pPr>
      <w:r>
        <w:t>Compensating controls for exceptions: Enhanced transaction logging, periodic sampling review of the user's transactions in the ERP, or dual-approval enforcement at the application layer are the most common compensating controls. These must be operationally verified, not just documented.</w:t>
      </w:r>
    </w:p>
    <w:p w14:paraId="2C3FCA61" w14:textId="77777777" w:rsidR="009014A9" w:rsidRDefault="00000000">
      <w:r>
        <w:br w:type="page"/>
      </w:r>
    </w:p>
    <w:p w14:paraId="2643C5C1" w14:textId="77777777" w:rsidR="009014A9" w:rsidRDefault="00000000">
      <w:pPr>
        <w:pStyle w:val="Heading1"/>
        <w:pBdr>
          <w:bottom w:val="single" w:sz="6" w:space="1" w:color="1A3C5E"/>
        </w:pBdr>
      </w:pPr>
      <w:r>
        <w:rPr>
          <w:color w:val="1A3C5E"/>
        </w:rPr>
        <w:lastRenderedPageBreak/>
        <w:t>5. SCIM 2.0 and Provisioning Architecture</w:t>
      </w:r>
    </w:p>
    <w:p w14:paraId="110640C7" w14:textId="77777777" w:rsidR="009014A9" w:rsidRDefault="00000000">
      <w:pPr>
        <w:pStyle w:val="Heading2"/>
      </w:pPr>
      <w:r>
        <w:rPr>
          <w:color w:val="2E4B7A"/>
        </w:rPr>
        <w:t>5.1 SCIM 2.0 Protocol Overview</w:t>
      </w:r>
    </w:p>
    <w:p w14:paraId="37EFC698" w14:textId="77777777" w:rsidR="009014A9" w:rsidRDefault="00000000">
      <w:pPr>
        <w:spacing w:after="120"/>
      </w:pPr>
      <w:r>
        <w:t>SCIM 2.0 (System for Cross-domain Identity Management), standardized in RFC 7642 (concepts), RFC 7643 (schema), and RFC 7644 (protocol), defines a REST API for automating user and group provisioning between identity systems. Core operations:</w:t>
      </w:r>
    </w:p>
    <w:p w14:paraId="04A286D2" w14:textId="77777777" w:rsidR="009014A9" w:rsidRDefault="00000000">
      <w:pPr>
        <w:pStyle w:val="ListParagraph"/>
        <w:numPr>
          <w:ilvl w:val="0"/>
          <w:numId w:val="2"/>
        </w:numPr>
        <w:spacing w:after="80"/>
      </w:pPr>
      <w:r>
        <w:t>POST /Users: Create a new user account in the target system (Joiner). The IGA platform sends the SCIM user object with required attributes; the target system creates the account and returns the created resource with a stable ID.</w:t>
      </w:r>
    </w:p>
    <w:p w14:paraId="6A1AD258" w14:textId="77777777" w:rsidR="009014A9" w:rsidRDefault="00000000">
      <w:pPr>
        <w:pStyle w:val="ListParagraph"/>
        <w:numPr>
          <w:ilvl w:val="0"/>
          <w:numId w:val="2"/>
        </w:numPr>
        <w:spacing w:after="80"/>
      </w:pPr>
      <w:r>
        <w:t>PATCH /Users/{id}: Partially update an existing user (Mover). Attribute changes (department, manager, title) are sent as PATCH operations containing only the changed attributes, not the full user object.</w:t>
      </w:r>
    </w:p>
    <w:p w14:paraId="220472AE" w14:textId="77777777" w:rsidR="009014A9" w:rsidRDefault="00000000">
      <w:pPr>
        <w:pStyle w:val="ListParagraph"/>
        <w:numPr>
          <w:ilvl w:val="0"/>
          <w:numId w:val="2"/>
        </w:numPr>
        <w:spacing w:after="80"/>
      </w:pPr>
      <w:r>
        <w:t>DELETE /Users/{id} or PATCH active=false: Deprovision a user (Leaver). Best practice is PATCH active=false (soft deactivation) rather than DELETE, preserving the account for audit trail purposes. Hard DELETE should only follow data retention policy expiry.</w:t>
      </w:r>
    </w:p>
    <w:p w14:paraId="1FB04897" w14:textId="77777777" w:rsidR="009014A9" w:rsidRDefault="00000000">
      <w:pPr>
        <w:pStyle w:val="ListParagraph"/>
        <w:numPr>
          <w:ilvl w:val="0"/>
          <w:numId w:val="2"/>
        </w:numPr>
        <w:spacing w:after="80"/>
      </w:pPr>
      <w:r>
        <w:t>GET /Users: Query users in the target system for reconciliation. IGA uses bulk GET operations with filtering to compare the identity warehouse state against the target system's current user base, detecting drift from out-of-band provisioning.</w:t>
      </w:r>
    </w:p>
    <w:p w14:paraId="48DD985B" w14:textId="77777777" w:rsidR="009014A9" w:rsidRDefault="00000000">
      <w:pPr>
        <w:pStyle w:val="ListParagraph"/>
        <w:numPr>
          <w:ilvl w:val="0"/>
          <w:numId w:val="2"/>
        </w:numPr>
        <w:spacing w:after="80"/>
      </w:pPr>
      <w:r>
        <w:t>Groups and entitlements: SCIM Group objects with members arrays are the primary mechanism for provisioning application entitlements. The IGA platform manages group membership; the target application maps groups to application permissions internally.</w:t>
      </w:r>
    </w:p>
    <w:p w14:paraId="782AAA2E" w14:textId="77777777" w:rsidR="009014A9" w:rsidRDefault="00000000">
      <w:pPr>
        <w:pStyle w:val="Heading2"/>
      </w:pPr>
      <w:r>
        <w:rPr>
          <w:color w:val="2E4B7A"/>
        </w:rPr>
        <w:t>5.2 HRMS Integration Architecture</w:t>
      </w:r>
    </w:p>
    <w:p w14:paraId="17CF9FB9" w14:textId="77777777" w:rsidR="009014A9" w:rsidRDefault="00000000">
      <w:pPr>
        <w:spacing w:after="120"/>
      </w:pPr>
      <w:r>
        <w:t>The HRMS is the authoritative source for all identity lifecycle events. Real-time integration is essential:</w:t>
      </w:r>
    </w:p>
    <w:p w14:paraId="132F3D2C" w14:textId="77777777" w:rsidR="009014A9" w:rsidRDefault="00000000">
      <w:pPr>
        <w:pStyle w:val="ListParagraph"/>
        <w:numPr>
          <w:ilvl w:val="0"/>
          <w:numId w:val="2"/>
        </w:numPr>
        <w:spacing w:after="80"/>
      </w:pPr>
      <w:r>
        <w:t xml:space="preserve">Workday integration: Workday provides native integration support for SailPoint </w:t>
      </w:r>
      <w:proofErr w:type="spellStart"/>
      <w:r>
        <w:t>IdentityNow</w:t>
      </w:r>
      <w:proofErr w:type="spellEnd"/>
      <w:r>
        <w:t xml:space="preserve"> and Saviynt via Workday's Report-as-a-Service (RaaS) and Workday Extend frameworks. HR events (new hire, termination, rehire, transfer) trigger IGA lifecycle workflows within minutes. Workday is the market-leading HRMS in large enterprise environments as of 2024.</w:t>
      </w:r>
    </w:p>
    <w:p w14:paraId="164A86F8" w14:textId="77777777" w:rsidR="009014A9" w:rsidRDefault="00000000">
      <w:pPr>
        <w:pStyle w:val="ListParagraph"/>
        <w:numPr>
          <w:ilvl w:val="0"/>
          <w:numId w:val="2"/>
        </w:numPr>
        <w:spacing w:after="80"/>
      </w:pPr>
      <w:r>
        <w:t>SAP SuccessFactors: Integrates with IGA via SAP Integration Suite (formerly SAP Cloud Platform Integration) or direct OData API. Complex SAP organizational hierarchy models (position, organizational unit, job classification) require careful mapping to IGA role catalog attributes.</w:t>
      </w:r>
    </w:p>
    <w:p w14:paraId="4428A498" w14:textId="77777777" w:rsidR="009014A9" w:rsidRDefault="00000000">
      <w:pPr>
        <w:pStyle w:val="ListParagraph"/>
        <w:numPr>
          <w:ilvl w:val="0"/>
          <w:numId w:val="2"/>
        </w:numPr>
        <w:spacing w:after="80"/>
      </w:pPr>
      <w:r>
        <w:t>Event-driven architecture: Push-based notification (webhook from HRMS to IGA) is preferred over polling for Leaver events where deprovisioning speed is a security control. A batch polling approach creates a window between termination and account suspension proportional to the polling interval.</w:t>
      </w:r>
    </w:p>
    <w:p w14:paraId="663F4684" w14:textId="77777777" w:rsidR="009014A9" w:rsidRDefault="00000000">
      <w:pPr>
        <w:pStyle w:val="Heading2"/>
      </w:pPr>
      <w:r>
        <w:rPr>
          <w:color w:val="2E4B7A"/>
        </w:rPr>
        <w:t>5.3 Provisioning Audit and Reconciliation</w:t>
      </w:r>
    </w:p>
    <w:p w14:paraId="248113FD" w14:textId="77777777" w:rsidR="009014A9" w:rsidRDefault="00000000">
      <w:pPr>
        <w:spacing w:after="120"/>
      </w:pPr>
      <w:r>
        <w:t>All provisioning actions constitute security-relevant audit events:</w:t>
      </w:r>
    </w:p>
    <w:p w14:paraId="06E8A92E" w14:textId="77777777" w:rsidR="009014A9" w:rsidRDefault="00000000">
      <w:pPr>
        <w:pStyle w:val="ListParagraph"/>
        <w:numPr>
          <w:ilvl w:val="0"/>
          <w:numId w:val="2"/>
        </w:numPr>
        <w:spacing w:after="80"/>
      </w:pPr>
      <w:r>
        <w:t xml:space="preserve">Provisioning audit trail: Every account </w:t>
      </w:r>
      <w:proofErr w:type="gramStart"/>
      <w:r>
        <w:t>create</w:t>
      </w:r>
      <w:proofErr w:type="gramEnd"/>
      <w:r>
        <w:t>, modify, group assign, and deprovision action is logged with the triggering event, approver chain, timestamp, and before/after entitlement state. This constitutes the compliance evidence for AC-2 and PS-4 control testing.</w:t>
      </w:r>
    </w:p>
    <w:p w14:paraId="26AEFC24" w14:textId="77777777" w:rsidR="009014A9" w:rsidRDefault="00000000">
      <w:pPr>
        <w:pStyle w:val="ListParagraph"/>
        <w:numPr>
          <w:ilvl w:val="0"/>
          <w:numId w:val="2"/>
        </w:numPr>
        <w:spacing w:after="80"/>
      </w:pPr>
      <w:r>
        <w:lastRenderedPageBreak/>
        <w:t>Reconciliation cycle: IGA reconciles the entitlement state in the identity warehouse against actual entitlements in target systems on a defined schedule (daily for high-risk systems). Drift detected. accounts with entitlements granted outside the IGA workflow, are flagged as unauthorized out-of-band access and routed for remediation.</w:t>
      </w:r>
    </w:p>
    <w:p w14:paraId="220BADEC" w14:textId="77777777" w:rsidR="009014A9" w:rsidRDefault="00000000">
      <w:pPr>
        <w:pStyle w:val="ListParagraph"/>
        <w:numPr>
          <w:ilvl w:val="0"/>
          <w:numId w:val="2"/>
        </w:numPr>
        <w:spacing w:after="80"/>
      </w:pPr>
      <w:r>
        <w:t>Provisioning SLA monitoring: IGA tracks time from HR termination event to full account deprovisioning per target system. Deprovisioning SLA breaches are escalated to security operations. Most organizations define a same-day suspension SLA and a 30-day full-deprovisioning SLA for Leaver events.</w:t>
      </w:r>
    </w:p>
    <w:p w14:paraId="351BFD18" w14:textId="77777777" w:rsidR="009014A9" w:rsidRDefault="00000000">
      <w:r>
        <w:br w:type="page"/>
      </w:r>
    </w:p>
    <w:p w14:paraId="0DC94AB4" w14:textId="77777777" w:rsidR="009014A9" w:rsidRDefault="00000000">
      <w:pPr>
        <w:pStyle w:val="Heading1"/>
        <w:pBdr>
          <w:bottom w:val="single" w:sz="6" w:space="1" w:color="1A3C5E"/>
        </w:pBdr>
      </w:pPr>
      <w:r>
        <w:rPr>
          <w:color w:val="1A3C5E"/>
        </w:rPr>
        <w:lastRenderedPageBreak/>
        <w:t>6. Privileged Access Governance and Service Account Management</w:t>
      </w:r>
    </w:p>
    <w:p w14:paraId="7E438BB7" w14:textId="77777777" w:rsidR="009014A9" w:rsidRDefault="00000000">
      <w:pPr>
        <w:pStyle w:val="Heading2"/>
      </w:pPr>
      <w:r>
        <w:rPr>
          <w:color w:val="2E4B7A"/>
        </w:rPr>
        <w:t>6.1 IGA and PAM Convergence</w:t>
      </w:r>
    </w:p>
    <w:p w14:paraId="0053F1C2" w14:textId="77777777" w:rsidR="009014A9" w:rsidRDefault="00000000">
      <w:pPr>
        <w:spacing w:after="120"/>
      </w:pPr>
      <w:r>
        <w:t>IGA and PAM address complementary governance needs: IGA governs lifecycle and entitlements for all access types; PAM governs the operational security of privileged sessions. Integration between the two is required for complete privileged access governance:</w:t>
      </w:r>
    </w:p>
    <w:p w14:paraId="2F6E3FC6" w14:textId="77777777" w:rsidR="009014A9" w:rsidRDefault="00000000">
      <w:pPr>
        <w:pStyle w:val="ListParagraph"/>
        <w:numPr>
          <w:ilvl w:val="0"/>
          <w:numId w:val="2"/>
        </w:numPr>
        <w:spacing w:after="80"/>
      </w:pPr>
      <w:r>
        <w:t>Privileged account discovery: IGA discovers all privileged accounts (admin accounts, service accounts with elevated permissions, shared admin accounts) across connected systems. Accounts without a corresponding HR-backed identity in the identity warehouse are flagged as orphaned privileged accounts for immediate remediation.</w:t>
      </w:r>
    </w:p>
    <w:p w14:paraId="33914D6C" w14:textId="77777777" w:rsidR="009014A9" w:rsidRDefault="00000000">
      <w:pPr>
        <w:pStyle w:val="ListParagraph"/>
        <w:numPr>
          <w:ilvl w:val="0"/>
          <w:numId w:val="2"/>
        </w:numPr>
        <w:spacing w:after="80"/>
      </w:pPr>
      <w:r>
        <w:t xml:space="preserve">JIT access via IGA-PAM integration: IGA handles the governance layer: access requests, multi-level approval workflows, and time-bound access grants. PAM handles the operational layer: credential vaulting, session recording, command auditing. SailPoint and CyberArk, Saviynt and </w:t>
      </w:r>
      <w:proofErr w:type="spellStart"/>
      <w:r>
        <w:t>BeyondTrust</w:t>
      </w:r>
      <w:proofErr w:type="spellEnd"/>
      <w:r>
        <w:t>, and Microsoft Entra ID Governance and Entra PIM are common IGA-PAM integration pairs.</w:t>
      </w:r>
    </w:p>
    <w:p w14:paraId="6853FCD4" w14:textId="77777777" w:rsidR="009014A9" w:rsidRDefault="00000000">
      <w:pPr>
        <w:pStyle w:val="ListParagraph"/>
        <w:numPr>
          <w:ilvl w:val="0"/>
          <w:numId w:val="2"/>
        </w:numPr>
        <w:spacing w:after="80"/>
      </w:pPr>
      <w:r>
        <w:t>Privileged role certification: Privileged role assignments (Domain Admins, Cloud IAM admin, database DBA) must be certified more frequently than standard entitlements. Quarterly certification for privileged roles; monthly for Tier 0 assets (domain controllers, PKI, security infrastructure).</w:t>
      </w:r>
    </w:p>
    <w:p w14:paraId="79172DA0" w14:textId="77777777" w:rsidR="009014A9" w:rsidRDefault="00000000">
      <w:pPr>
        <w:pStyle w:val="ListParagraph"/>
        <w:numPr>
          <w:ilvl w:val="0"/>
          <w:numId w:val="2"/>
        </w:numPr>
        <w:spacing w:after="80"/>
      </w:pPr>
      <w:r>
        <w:t>Standing privilege elimination: IGA tracks and reports on standing privileged access (permanently assigned admin accounts). The governance objective is to reduce standing privilege to zero for all human accounts, replacing all with JIT access models enforced via PAM and IGA workflow integration.</w:t>
      </w:r>
    </w:p>
    <w:p w14:paraId="093E4073" w14:textId="77777777" w:rsidR="009014A9" w:rsidRDefault="00000000">
      <w:pPr>
        <w:pStyle w:val="Heading2"/>
      </w:pPr>
      <w:r>
        <w:rPr>
          <w:color w:val="2E4B7A"/>
        </w:rPr>
        <w:t>6.2 Service Account Governance</w:t>
      </w:r>
    </w:p>
    <w:p w14:paraId="343B2FDB" w14:textId="77777777" w:rsidR="009014A9" w:rsidRDefault="00000000">
      <w:pPr>
        <w:spacing w:after="120"/>
      </w:pPr>
      <w:r>
        <w:t>Service accounts are non-human identities used by applications and automation. They are a significant governance risk due to shared ownership, long-lived credentials, and frequently excessive privileges:</w:t>
      </w:r>
    </w:p>
    <w:p w14:paraId="5DA7A140" w14:textId="77777777" w:rsidR="009014A9" w:rsidRDefault="00000000">
      <w:pPr>
        <w:pStyle w:val="ListParagraph"/>
        <w:numPr>
          <w:ilvl w:val="0"/>
          <w:numId w:val="2"/>
        </w:numPr>
        <w:spacing w:after="80"/>
      </w:pPr>
      <w:r>
        <w:t>Service account inventory: IGA must maintain a complete inventory of all service accounts, including owning application, owning business team, authenticated systems, and entitlements held. Unowned service accounts are critical findings requiring immediate assignment or decommissioning.</w:t>
      </w:r>
    </w:p>
    <w:p w14:paraId="02E1F30A" w14:textId="77777777" w:rsidR="009014A9" w:rsidRDefault="00000000">
      <w:pPr>
        <w:pStyle w:val="ListParagraph"/>
        <w:numPr>
          <w:ilvl w:val="0"/>
          <w:numId w:val="2"/>
        </w:numPr>
        <w:spacing w:after="80"/>
      </w:pPr>
      <w:r>
        <w:t>Credential management: Service account credentials (passwords, API keys, certificates) must be managed through a secrets management system (</w:t>
      </w:r>
      <w:proofErr w:type="spellStart"/>
      <w:r>
        <w:t>HashiCorp</w:t>
      </w:r>
      <w:proofErr w:type="spellEnd"/>
      <w:r>
        <w:t xml:space="preserve"> Vault, CyberArk Secrets Manager, AWS Secrets Manager) rather than hardcoded in application configuration files. IGA enforces secrets management enrollment as a compliance attribute on all service account records.</w:t>
      </w:r>
    </w:p>
    <w:p w14:paraId="3135717E" w14:textId="77777777" w:rsidR="009014A9" w:rsidRDefault="00000000">
      <w:pPr>
        <w:pStyle w:val="ListParagraph"/>
        <w:numPr>
          <w:ilvl w:val="0"/>
          <w:numId w:val="2"/>
        </w:numPr>
        <w:spacing w:after="80"/>
      </w:pPr>
      <w:r>
        <w:t>Annual access review: Service accounts included in annual certification campaigns. The account owner confirms the account is still needed, entitlements remain appropriate, and the credential rotation schedule is current. Uncertified service accounts are suspended pending investigation.</w:t>
      </w:r>
    </w:p>
    <w:p w14:paraId="6A4FC4B7" w14:textId="77777777" w:rsidR="009014A9" w:rsidRDefault="00000000">
      <w:r>
        <w:br w:type="page"/>
      </w:r>
    </w:p>
    <w:p w14:paraId="113A9E70" w14:textId="77777777" w:rsidR="009014A9" w:rsidRDefault="00000000">
      <w:pPr>
        <w:pStyle w:val="Heading1"/>
        <w:pBdr>
          <w:bottom w:val="single" w:sz="6" w:space="1" w:color="1A3C5E"/>
        </w:pBdr>
      </w:pPr>
      <w:r>
        <w:rPr>
          <w:color w:val="1A3C5E"/>
        </w:rPr>
        <w:lastRenderedPageBreak/>
        <w:t>7. Cloud Entitlement Management (CIEM)</w:t>
      </w:r>
    </w:p>
    <w:p w14:paraId="10DCEF21" w14:textId="77777777" w:rsidR="009014A9" w:rsidRDefault="00000000">
      <w:pPr>
        <w:pStyle w:val="Heading2"/>
      </w:pPr>
      <w:r>
        <w:rPr>
          <w:color w:val="2E4B7A"/>
        </w:rPr>
        <w:t>7.1 Cloud IAM Governance Challenges</w:t>
      </w:r>
    </w:p>
    <w:p w14:paraId="06CE808F" w14:textId="77777777" w:rsidR="009014A9" w:rsidRDefault="00000000">
      <w:pPr>
        <w:spacing w:after="120"/>
      </w:pPr>
      <w:r>
        <w:t>Cloud environments introduce governance complexity that traditional IGA tools, designed for flat RBAC models, cannot adequately address. AWS IAM policies can contain hundreds of individual actions across dozens of services, with permissions nested through role inheritance, trust policies, permission boundaries, and Service Control Policies (SCPs).</w:t>
      </w:r>
    </w:p>
    <w:p w14:paraId="3B26B0F0" w14:textId="77777777" w:rsidR="009014A9" w:rsidRDefault="00000000">
      <w:pPr>
        <w:pStyle w:val="ListParagraph"/>
        <w:numPr>
          <w:ilvl w:val="0"/>
          <w:numId w:val="2"/>
        </w:numPr>
        <w:spacing w:after="80"/>
      </w:pPr>
      <w:r>
        <w:t>Entitlement sprawl: Cloud environments generate vast numbers of unique permission combinations across accounts, regions, and services. Governing at the individual action level requires automated tooling.</w:t>
      </w:r>
    </w:p>
    <w:p w14:paraId="565EA97F" w14:textId="77777777" w:rsidR="009014A9" w:rsidRDefault="00000000">
      <w:pPr>
        <w:pStyle w:val="ListParagraph"/>
        <w:numPr>
          <w:ilvl w:val="0"/>
          <w:numId w:val="2"/>
        </w:numPr>
        <w:spacing w:after="80"/>
      </w:pPr>
      <w:r>
        <w:t xml:space="preserve">Least privilege in cloud: AWS IAM Access Advisor reports on the last-accessed timestamps for each permission, enabling identification of unused permissions. Azure Entra ID provides similar insights via Permissions Insights. Automated </w:t>
      </w:r>
      <w:proofErr w:type="gramStart"/>
      <w:r>
        <w:t>right-sizing</w:t>
      </w:r>
      <w:proofErr w:type="gramEnd"/>
      <w:r>
        <w:t xml:space="preserve"> removes unused permissions continuously, maintaining least privilege as environments evolve.</w:t>
      </w:r>
    </w:p>
    <w:p w14:paraId="089963D4" w14:textId="77777777" w:rsidR="009014A9" w:rsidRDefault="00000000">
      <w:pPr>
        <w:pStyle w:val="ListParagraph"/>
        <w:numPr>
          <w:ilvl w:val="0"/>
          <w:numId w:val="2"/>
        </w:numPr>
        <w:spacing w:after="80"/>
      </w:pPr>
      <w:r>
        <w:t xml:space="preserve">Machine identities: Cloud environments are dominated by non-human identities (EC2 instance profiles, Lambda execution roles, Kubernetes </w:t>
      </w:r>
      <w:proofErr w:type="spellStart"/>
      <w:r>
        <w:t>ServiceAccounts</w:t>
      </w:r>
      <w:proofErr w:type="spellEnd"/>
      <w:r>
        <w:t>, CI/CD pipeline identities). These machine identities often hold broader permissions than necessary and are excluded from traditional IGA governance cycles without intentional CIEM integration.</w:t>
      </w:r>
    </w:p>
    <w:p w14:paraId="7F9764B3" w14:textId="77777777" w:rsidR="009014A9" w:rsidRDefault="00000000">
      <w:pPr>
        <w:pStyle w:val="Heading2"/>
      </w:pPr>
      <w:r>
        <w:rPr>
          <w:color w:val="2E4B7A"/>
        </w:rPr>
        <w:t>7.2 CIEM Tooling and IGA Integration</w:t>
      </w:r>
    </w:p>
    <w:p w14:paraId="6DFF1911" w14:textId="77777777" w:rsidR="009014A9" w:rsidRDefault="00000000">
      <w:pPr>
        <w:spacing w:after="120"/>
      </w:pPr>
      <w:r>
        <w:t>CIEM (Cloud Infrastructure Entitlement Management) addresses the gap between traditional IGA and cloud IAM governance:</w:t>
      </w:r>
    </w:p>
    <w:p w14:paraId="6E718C8C" w14:textId="77777777" w:rsidR="009014A9" w:rsidRDefault="00000000">
      <w:pPr>
        <w:pStyle w:val="ListParagraph"/>
        <w:numPr>
          <w:ilvl w:val="0"/>
          <w:numId w:val="2"/>
        </w:numPr>
        <w:spacing w:after="80"/>
      </w:pPr>
      <w:r>
        <w:t xml:space="preserve">Leading CIEM tools (as of 2025): Wiz CIEM, Tenable Cloud Security (formerly </w:t>
      </w:r>
      <w:proofErr w:type="spellStart"/>
      <w:r>
        <w:t>Ermetic</w:t>
      </w:r>
      <w:proofErr w:type="spellEnd"/>
      <w:r>
        <w:t xml:space="preserve">), CyberArk Cloud Entitlements Manager, Microsoft Entra Permissions Management (formerly </w:t>
      </w:r>
      <w:proofErr w:type="spellStart"/>
      <w:r>
        <w:t>CloudKnox</w:t>
      </w:r>
      <w:proofErr w:type="spellEnd"/>
      <w:r>
        <w:t>), SailPoint Cloud Access Management, Saviynt CIEM.</w:t>
      </w:r>
    </w:p>
    <w:p w14:paraId="1529BBF1" w14:textId="77777777" w:rsidR="009014A9" w:rsidRDefault="00000000">
      <w:pPr>
        <w:pStyle w:val="ListParagraph"/>
        <w:numPr>
          <w:ilvl w:val="0"/>
          <w:numId w:val="2"/>
        </w:numPr>
        <w:spacing w:after="80"/>
      </w:pPr>
      <w:r>
        <w:t>Key CIEM capabilities: Continuous discovery of cloud identities and entitlements across all accounts and subscriptions; effective permissions analysis (resolving policies, SCPs, trust policies, and permission boundaries to the actual effective permission set for each principal); identification of unused permissions, privilege escalation paths, and cross-account trust misconfigurations; automated right-sizing recommendations.</w:t>
      </w:r>
    </w:p>
    <w:p w14:paraId="7D1BC15F" w14:textId="77777777" w:rsidR="009014A9" w:rsidRDefault="00000000">
      <w:pPr>
        <w:pStyle w:val="ListParagraph"/>
        <w:numPr>
          <w:ilvl w:val="0"/>
          <w:numId w:val="2"/>
        </w:numPr>
        <w:spacing w:after="80"/>
      </w:pPr>
      <w:r>
        <w:t>IGA-CIEM convergence: IGA platforms with CIEM integration extend the JML lifecycle and access certification capabilities to cloud entitlements. SailPoint's Cloud Access Management and Saviynt's native CIEM module are examples of unified IGA+CIEM governance that avoids running separate tools for cloud and on-premises identity governance.</w:t>
      </w:r>
    </w:p>
    <w:p w14:paraId="2CD65BE3" w14:textId="77777777" w:rsidR="009014A9" w:rsidRDefault="00000000">
      <w:r>
        <w:br w:type="page"/>
      </w:r>
    </w:p>
    <w:p w14:paraId="368FEF67" w14:textId="77777777" w:rsidR="009014A9" w:rsidRDefault="00000000">
      <w:pPr>
        <w:pStyle w:val="Heading1"/>
        <w:pBdr>
          <w:bottom w:val="single" w:sz="6" w:space="1" w:color="1A3C5E"/>
        </w:pBdr>
      </w:pPr>
      <w:r>
        <w:rPr>
          <w:color w:val="1A3C5E"/>
        </w:rPr>
        <w:lastRenderedPageBreak/>
        <w:t>8. Identity Analytics and AI-Driven Governance</w:t>
      </w:r>
    </w:p>
    <w:p w14:paraId="4AE01763" w14:textId="77777777" w:rsidR="009014A9" w:rsidRDefault="00000000">
      <w:pPr>
        <w:pStyle w:val="Heading2"/>
      </w:pPr>
      <w:r>
        <w:rPr>
          <w:color w:val="2E4B7A"/>
        </w:rPr>
        <w:t>8.1 Access Risk Scoring</w:t>
      </w:r>
    </w:p>
    <w:p w14:paraId="11EE0A0F" w14:textId="77777777" w:rsidR="009014A9" w:rsidRDefault="00000000">
      <w:pPr>
        <w:spacing w:after="120"/>
      </w:pPr>
      <w:r>
        <w:t>Modern IGA platforms score identity risk using multiple analytical signals:</w:t>
      </w:r>
    </w:p>
    <w:p w14:paraId="740493CC" w14:textId="77777777" w:rsidR="009014A9" w:rsidRDefault="00000000">
      <w:pPr>
        <w:pStyle w:val="ListParagraph"/>
        <w:numPr>
          <w:ilvl w:val="0"/>
          <w:numId w:val="2"/>
        </w:numPr>
        <w:spacing w:after="80"/>
      </w:pPr>
      <w:r>
        <w:t>Entitlement risk score: Each entitlement is assigned a sensitivity score based on system criticality (production vs. development), data classification (PII, financial, intellectual property), and function type (read vs. write vs. admin). A user's aggregate entitlement risk score represents their overall access risk posture.</w:t>
      </w:r>
    </w:p>
    <w:p w14:paraId="6EA6FBB5" w14:textId="77777777" w:rsidR="009014A9" w:rsidRDefault="00000000">
      <w:pPr>
        <w:pStyle w:val="ListParagraph"/>
        <w:numPr>
          <w:ilvl w:val="0"/>
          <w:numId w:val="2"/>
        </w:numPr>
        <w:spacing w:after="80"/>
      </w:pPr>
      <w:r>
        <w:t xml:space="preserve">Peer group analysis: Compares a user's access profile against peers with the same job title, department, and location. Entitlements significantly outside the peer group norm are flagged as anomalous and recommended for review or revocation. This approach detects access creep and over-provisioning that static </w:t>
      </w:r>
      <w:proofErr w:type="spellStart"/>
      <w:r>
        <w:t>SoD</w:t>
      </w:r>
      <w:proofErr w:type="spellEnd"/>
      <w:r>
        <w:t xml:space="preserve"> rules cannot capture.</w:t>
      </w:r>
    </w:p>
    <w:p w14:paraId="17133FAC" w14:textId="77777777" w:rsidR="009014A9" w:rsidRDefault="00000000">
      <w:pPr>
        <w:pStyle w:val="ListParagraph"/>
        <w:numPr>
          <w:ilvl w:val="0"/>
          <w:numId w:val="2"/>
        </w:numPr>
        <w:spacing w:after="80"/>
      </w:pPr>
      <w:r>
        <w:t xml:space="preserve">Usage analytics: Integration with application access logs, SIEM, and PAM session data determines which entitlements a user has </w:t>
      </w:r>
      <w:proofErr w:type="gramStart"/>
      <w:r>
        <w:t>actually exercised</w:t>
      </w:r>
      <w:proofErr w:type="gramEnd"/>
      <w:r>
        <w:t xml:space="preserve"> in a defined lookback window (typically 90 days). Unused entitlements are candidates for revocation, directly implementing the least-privilege reduction principle with data evidence.</w:t>
      </w:r>
    </w:p>
    <w:p w14:paraId="587E7922" w14:textId="77777777" w:rsidR="009014A9" w:rsidRDefault="00000000">
      <w:pPr>
        <w:pStyle w:val="Heading2"/>
      </w:pPr>
      <w:r>
        <w:rPr>
          <w:color w:val="2E4B7A"/>
        </w:rPr>
        <w:t>8.2 AI-Assisted Certification</w:t>
      </w:r>
    </w:p>
    <w:p w14:paraId="06F9EA6B" w14:textId="77777777" w:rsidR="009014A9" w:rsidRDefault="00000000">
      <w:pPr>
        <w:spacing w:after="120"/>
      </w:pPr>
      <w:r>
        <w:t>AI-based recommendation models reduce reviewer burden while improving certification quality:</w:t>
      </w:r>
    </w:p>
    <w:p w14:paraId="3CA2AEEA" w14:textId="77777777" w:rsidR="009014A9" w:rsidRDefault="00000000">
      <w:pPr>
        <w:pStyle w:val="ListParagraph"/>
        <w:numPr>
          <w:ilvl w:val="0"/>
          <w:numId w:val="2"/>
        </w:numPr>
        <w:spacing w:after="80"/>
      </w:pPr>
      <w:r>
        <w:t>Recommendation model: Learns from historical reviewer certification decisions (certify vs. revoke patterns) correlated with entitlement attributes, user role, peer group access, and last-use data. Produces a certify or revoke recommendation with confidence score for each entitlement in a campaign.</w:t>
      </w:r>
    </w:p>
    <w:p w14:paraId="481D08A5" w14:textId="77777777" w:rsidR="009014A9" w:rsidRDefault="00000000">
      <w:pPr>
        <w:pStyle w:val="ListParagraph"/>
        <w:numPr>
          <w:ilvl w:val="0"/>
          <w:numId w:val="2"/>
        </w:numPr>
        <w:spacing w:after="80"/>
      </w:pPr>
      <w:r>
        <w:t>Auto-certification: Low-risk entitlements where the recommendation confidence exceeds a configured threshold can be auto-certified without requiring manual reviewer input, reducing campaign volume by 60-80% in mature deployments. Auto-certifications are auditable and reportable.</w:t>
      </w:r>
    </w:p>
    <w:p w14:paraId="1CE18047" w14:textId="77777777" w:rsidR="009014A9" w:rsidRDefault="00000000">
      <w:pPr>
        <w:pStyle w:val="ListParagraph"/>
        <w:numPr>
          <w:ilvl w:val="0"/>
          <w:numId w:val="2"/>
        </w:numPr>
        <w:spacing w:after="80"/>
      </w:pPr>
      <w:r>
        <w:t>Reviewer context: Reviewers who receive recommendations with supporting evidence (peer group comparison, last-used date, risk score) make more accurate decisions and complete campaigns in less time than reviewers who see raw entitlement lists without context. SailPoint AI Recommendations and Saviynt's AI-powered Access Insights are production implementations of this capability.</w:t>
      </w:r>
    </w:p>
    <w:p w14:paraId="1202F192" w14:textId="77777777" w:rsidR="009014A9" w:rsidRDefault="00000000">
      <w:r>
        <w:br w:type="page"/>
      </w:r>
    </w:p>
    <w:p w14:paraId="15FA3659" w14:textId="77777777" w:rsidR="009014A9" w:rsidRDefault="00000000">
      <w:pPr>
        <w:pStyle w:val="Heading1"/>
        <w:pBdr>
          <w:bottom w:val="single" w:sz="6" w:space="1" w:color="1A3C5E"/>
        </w:pBdr>
      </w:pPr>
      <w:r>
        <w:rPr>
          <w:color w:val="1A3C5E"/>
        </w:rPr>
        <w:lastRenderedPageBreak/>
        <w:t>9. MITRE ATT&amp;CK Mapping</w:t>
      </w:r>
    </w:p>
    <w:p w14:paraId="3B03B2AC" w14:textId="77777777" w:rsidR="009014A9" w:rsidRDefault="00000000">
      <w:pPr>
        <w:spacing w:after="120"/>
      </w:pPr>
      <w:r>
        <w:t>IGA control failures directly enable the following MITRE ATT&amp;CK Enterprise techniques. These represent the attack surface exposed by poor access lifecycle management, excessive entitlements, and inadequate access review programs: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41"/>
        <w:gridCol w:w="1588"/>
        <w:gridCol w:w="3265"/>
        <w:gridCol w:w="3266"/>
      </w:tblGrid>
      <w:tr w:rsidR="009014A9" w14:paraId="4E983913" w14:textId="77777777">
        <w:tblPrEx>
          <w:tblCellMar>
            <w:top w:w="0" w:type="dxa"/>
            <w:bottom w:w="0" w:type="dxa"/>
          </w:tblCellMar>
        </w:tblPrEx>
        <w:tc>
          <w:tcPr>
            <w:tcW w:w="950" w:type="dxa"/>
            <w:tcBorders>
              <w:top w:val="single" w:sz="1" w:space="0" w:color="CCCCCC"/>
              <w:left w:val="single" w:sz="1" w:space="0" w:color="CCCCCC"/>
              <w:bottom w:val="single" w:sz="1" w:space="0" w:color="CCCCCC"/>
              <w:right w:val="single" w:sz="1" w:space="0" w:color="CCCCCC"/>
            </w:tcBorders>
            <w:shd w:val="clear" w:color="auto" w:fill="1A3C5E"/>
            <w:tcMar>
              <w:top w:w="80" w:type="dxa"/>
              <w:left w:w="120" w:type="dxa"/>
              <w:bottom w:w="80" w:type="dxa"/>
              <w:right w:w="120" w:type="dxa"/>
            </w:tcMar>
          </w:tcPr>
          <w:p w14:paraId="17EA4F1F" w14:textId="77777777" w:rsidR="009014A9" w:rsidRDefault="00000000">
            <w:r>
              <w:rPr>
                <w:b/>
                <w:bCs/>
                <w:color w:val="FFFFFF"/>
                <w:sz w:val="20"/>
                <w:szCs w:val="20"/>
              </w:rPr>
              <w:t>Technique ID</w:t>
            </w:r>
          </w:p>
        </w:tc>
        <w:tc>
          <w:tcPr>
            <w:tcW w:w="1600" w:type="dxa"/>
            <w:tcBorders>
              <w:top w:val="single" w:sz="1" w:space="0" w:color="CCCCCC"/>
              <w:left w:val="single" w:sz="1" w:space="0" w:color="CCCCCC"/>
              <w:bottom w:val="single" w:sz="1" w:space="0" w:color="CCCCCC"/>
              <w:right w:val="single" w:sz="1" w:space="0" w:color="CCCCCC"/>
            </w:tcBorders>
            <w:shd w:val="clear" w:color="auto" w:fill="1A3C5E"/>
            <w:tcMar>
              <w:top w:w="80" w:type="dxa"/>
              <w:left w:w="120" w:type="dxa"/>
              <w:bottom w:w="80" w:type="dxa"/>
              <w:right w:w="120" w:type="dxa"/>
            </w:tcMar>
          </w:tcPr>
          <w:p w14:paraId="12EA1B8D" w14:textId="77777777" w:rsidR="009014A9" w:rsidRDefault="00000000">
            <w:r>
              <w:rPr>
                <w:b/>
                <w:bCs/>
                <w:color w:val="FFFFFF"/>
                <w:sz w:val="20"/>
                <w:szCs w:val="20"/>
              </w:rPr>
              <w:t>Name</w:t>
            </w:r>
          </w:p>
        </w:tc>
        <w:tc>
          <w:tcPr>
            <w:tcW w:w="3400" w:type="dxa"/>
            <w:tcBorders>
              <w:top w:val="single" w:sz="1" w:space="0" w:color="CCCCCC"/>
              <w:left w:val="single" w:sz="1" w:space="0" w:color="CCCCCC"/>
              <w:bottom w:val="single" w:sz="1" w:space="0" w:color="CCCCCC"/>
              <w:right w:val="single" w:sz="1" w:space="0" w:color="CCCCCC"/>
            </w:tcBorders>
            <w:shd w:val="clear" w:color="auto" w:fill="1A3C5E"/>
            <w:tcMar>
              <w:top w:w="80" w:type="dxa"/>
              <w:left w:w="120" w:type="dxa"/>
              <w:bottom w:w="80" w:type="dxa"/>
              <w:right w:w="120" w:type="dxa"/>
            </w:tcMar>
          </w:tcPr>
          <w:p w14:paraId="3A2FA80B" w14:textId="77777777" w:rsidR="009014A9" w:rsidRDefault="00000000">
            <w:r>
              <w:rPr>
                <w:b/>
                <w:bCs/>
                <w:color w:val="FFFFFF"/>
                <w:sz w:val="20"/>
                <w:szCs w:val="20"/>
              </w:rPr>
              <w:t>IGA Control Failure Enabling This Attack</w:t>
            </w:r>
          </w:p>
        </w:tc>
        <w:tc>
          <w:tcPr>
            <w:tcW w:w="3410" w:type="dxa"/>
            <w:tcBorders>
              <w:top w:val="single" w:sz="1" w:space="0" w:color="CCCCCC"/>
              <w:left w:val="single" w:sz="1" w:space="0" w:color="CCCCCC"/>
              <w:bottom w:val="single" w:sz="1" w:space="0" w:color="CCCCCC"/>
              <w:right w:val="single" w:sz="1" w:space="0" w:color="CCCCCC"/>
            </w:tcBorders>
            <w:shd w:val="clear" w:color="auto" w:fill="1A3C5E"/>
            <w:tcMar>
              <w:top w:w="80" w:type="dxa"/>
              <w:left w:w="120" w:type="dxa"/>
              <w:bottom w:w="80" w:type="dxa"/>
              <w:right w:w="120" w:type="dxa"/>
            </w:tcMar>
          </w:tcPr>
          <w:p w14:paraId="514E9433" w14:textId="77777777" w:rsidR="009014A9" w:rsidRDefault="00000000">
            <w:r>
              <w:rPr>
                <w:b/>
                <w:bCs/>
                <w:color w:val="FFFFFF"/>
                <w:sz w:val="20"/>
                <w:szCs w:val="20"/>
              </w:rPr>
              <w:t>IGA Mitigation</w:t>
            </w:r>
          </w:p>
        </w:tc>
      </w:tr>
      <w:tr w:rsidR="009014A9" w14:paraId="596A05A1" w14:textId="77777777">
        <w:tblPrEx>
          <w:tblCellMar>
            <w:top w:w="0" w:type="dxa"/>
            <w:bottom w:w="0" w:type="dxa"/>
          </w:tblCellMar>
        </w:tblPrEx>
        <w:tc>
          <w:tcPr>
            <w:tcW w:w="95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0D271DB" w14:textId="77777777" w:rsidR="009014A9" w:rsidRDefault="00000000">
            <w:r>
              <w:rPr>
                <w:sz w:val="19"/>
                <w:szCs w:val="19"/>
              </w:rPr>
              <w:t>T1078</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466C43C" w14:textId="77777777" w:rsidR="009014A9" w:rsidRDefault="00000000">
            <w:r>
              <w:rPr>
                <w:sz w:val="19"/>
                <w:szCs w:val="19"/>
              </w:rPr>
              <w:t>Valid Accounts</w:t>
            </w:r>
          </w:p>
        </w:tc>
        <w:tc>
          <w:tcPr>
            <w:tcW w:w="3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5831E4B" w14:textId="77777777" w:rsidR="009014A9" w:rsidRDefault="00000000">
            <w:r>
              <w:rPr>
                <w:sz w:val="19"/>
                <w:szCs w:val="19"/>
              </w:rPr>
              <w:t>Orphaned accounts from failed offboarding provide persistent access; stale entitlements allow former employees or their compromised credentials to authenticate</w:t>
            </w:r>
          </w:p>
        </w:tc>
        <w:tc>
          <w:tcPr>
            <w:tcW w:w="341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22DFDB0" w14:textId="77777777" w:rsidR="009014A9" w:rsidRDefault="00000000">
            <w:r>
              <w:rPr>
                <w:sz w:val="19"/>
                <w:szCs w:val="19"/>
              </w:rPr>
              <w:t>Automated Leaver deprovisioning via HRMS-IGA integration; orphaned account detection with defined SLA for remediation; NIST AC-2(3) inactive account suspension</w:t>
            </w:r>
          </w:p>
        </w:tc>
      </w:tr>
      <w:tr w:rsidR="009014A9" w14:paraId="3D06A0A1" w14:textId="77777777">
        <w:tblPrEx>
          <w:tblCellMar>
            <w:top w:w="0" w:type="dxa"/>
            <w:bottom w:w="0" w:type="dxa"/>
          </w:tblCellMar>
        </w:tblPrEx>
        <w:tc>
          <w:tcPr>
            <w:tcW w:w="950" w:type="dxa"/>
            <w:tcBorders>
              <w:top w:val="single" w:sz="1" w:space="0" w:color="CCCCCC"/>
              <w:left w:val="single" w:sz="1" w:space="0" w:color="CCCCCC"/>
              <w:bottom w:val="single" w:sz="1" w:space="0" w:color="CCCCCC"/>
              <w:right w:val="single" w:sz="1" w:space="0" w:color="CCCCCC"/>
            </w:tcBorders>
            <w:shd w:val="clear" w:color="auto" w:fill="EEF3FB"/>
            <w:tcMar>
              <w:top w:w="80" w:type="dxa"/>
              <w:left w:w="120" w:type="dxa"/>
              <w:bottom w:w="80" w:type="dxa"/>
              <w:right w:w="120" w:type="dxa"/>
            </w:tcMar>
          </w:tcPr>
          <w:p w14:paraId="5366D046" w14:textId="77777777" w:rsidR="009014A9" w:rsidRDefault="00000000">
            <w:r>
              <w:rPr>
                <w:sz w:val="19"/>
                <w:szCs w:val="19"/>
              </w:rPr>
              <w:t>T1078.003</w:t>
            </w:r>
          </w:p>
        </w:tc>
        <w:tc>
          <w:tcPr>
            <w:tcW w:w="1600" w:type="dxa"/>
            <w:tcBorders>
              <w:top w:val="single" w:sz="1" w:space="0" w:color="CCCCCC"/>
              <w:left w:val="single" w:sz="1" w:space="0" w:color="CCCCCC"/>
              <w:bottom w:val="single" w:sz="1" w:space="0" w:color="CCCCCC"/>
              <w:right w:val="single" w:sz="1" w:space="0" w:color="CCCCCC"/>
            </w:tcBorders>
            <w:shd w:val="clear" w:color="auto" w:fill="EEF3FB"/>
            <w:tcMar>
              <w:top w:w="80" w:type="dxa"/>
              <w:left w:w="120" w:type="dxa"/>
              <w:bottom w:w="80" w:type="dxa"/>
              <w:right w:w="120" w:type="dxa"/>
            </w:tcMar>
          </w:tcPr>
          <w:p w14:paraId="2A50DEA7" w14:textId="77777777" w:rsidR="009014A9" w:rsidRDefault="00000000">
            <w:r>
              <w:rPr>
                <w:sz w:val="19"/>
                <w:szCs w:val="19"/>
              </w:rPr>
              <w:t>Local Accounts</w:t>
            </w:r>
          </w:p>
        </w:tc>
        <w:tc>
          <w:tcPr>
            <w:tcW w:w="3400" w:type="dxa"/>
            <w:tcBorders>
              <w:top w:val="single" w:sz="1" w:space="0" w:color="CCCCCC"/>
              <w:left w:val="single" w:sz="1" w:space="0" w:color="CCCCCC"/>
              <w:bottom w:val="single" w:sz="1" w:space="0" w:color="CCCCCC"/>
              <w:right w:val="single" w:sz="1" w:space="0" w:color="CCCCCC"/>
            </w:tcBorders>
            <w:shd w:val="clear" w:color="auto" w:fill="EEF3FB"/>
            <w:tcMar>
              <w:top w:w="80" w:type="dxa"/>
              <w:left w:w="120" w:type="dxa"/>
              <w:bottom w:w="80" w:type="dxa"/>
              <w:right w:w="120" w:type="dxa"/>
            </w:tcMar>
          </w:tcPr>
          <w:p w14:paraId="7B7A829B" w14:textId="77777777" w:rsidR="009014A9" w:rsidRDefault="00000000">
            <w:r>
              <w:rPr>
                <w:sz w:val="19"/>
                <w:szCs w:val="19"/>
              </w:rPr>
              <w:t>Unmanaged local admin accounts on endpoints and servers not enrolled in IGA or PAM; invisible to identity governance and access certification</w:t>
            </w:r>
          </w:p>
        </w:tc>
        <w:tc>
          <w:tcPr>
            <w:tcW w:w="3410" w:type="dxa"/>
            <w:tcBorders>
              <w:top w:val="single" w:sz="1" w:space="0" w:color="CCCCCC"/>
              <w:left w:val="single" w:sz="1" w:space="0" w:color="CCCCCC"/>
              <w:bottom w:val="single" w:sz="1" w:space="0" w:color="CCCCCC"/>
              <w:right w:val="single" w:sz="1" w:space="0" w:color="CCCCCC"/>
            </w:tcBorders>
            <w:shd w:val="clear" w:color="auto" w:fill="EEF3FB"/>
            <w:tcMar>
              <w:top w:w="80" w:type="dxa"/>
              <w:left w:w="120" w:type="dxa"/>
              <w:bottom w:w="80" w:type="dxa"/>
              <w:right w:w="120" w:type="dxa"/>
            </w:tcMar>
          </w:tcPr>
          <w:p w14:paraId="25F181A0" w14:textId="77777777" w:rsidR="009014A9" w:rsidRDefault="00000000">
            <w:r>
              <w:rPr>
                <w:sz w:val="19"/>
                <w:szCs w:val="19"/>
              </w:rPr>
              <w:t>Local account discovery via endpoint management integration; enforcement that all accounts exist in identity warehouse; periodic local account certification</w:t>
            </w:r>
          </w:p>
        </w:tc>
      </w:tr>
      <w:tr w:rsidR="009014A9" w14:paraId="1E503412" w14:textId="77777777">
        <w:tblPrEx>
          <w:tblCellMar>
            <w:top w:w="0" w:type="dxa"/>
            <w:bottom w:w="0" w:type="dxa"/>
          </w:tblCellMar>
        </w:tblPrEx>
        <w:tc>
          <w:tcPr>
            <w:tcW w:w="95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24D2198" w14:textId="77777777" w:rsidR="009014A9" w:rsidRDefault="00000000">
            <w:r>
              <w:rPr>
                <w:sz w:val="19"/>
                <w:szCs w:val="19"/>
              </w:rPr>
              <w:t>T1078.004</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40EADA5" w14:textId="77777777" w:rsidR="009014A9" w:rsidRDefault="00000000">
            <w:r>
              <w:rPr>
                <w:sz w:val="19"/>
                <w:szCs w:val="19"/>
              </w:rPr>
              <w:t>Cloud Accounts</w:t>
            </w:r>
          </w:p>
        </w:tc>
        <w:tc>
          <w:tcPr>
            <w:tcW w:w="3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2285C38" w14:textId="77777777" w:rsidR="009014A9" w:rsidRDefault="00000000">
            <w:r>
              <w:rPr>
                <w:sz w:val="19"/>
                <w:szCs w:val="19"/>
              </w:rPr>
              <w:t>Cloud IAM users, cross-account roles, and service principals with excessive or unused permissions not included in IGA governance cycles or CIEM monitoring</w:t>
            </w:r>
          </w:p>
        </w:tc>
        <w:tc>
          <w:tcPr>
            <w:tcW w:w="341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166C2E9" w14:textId="77777777" w:rsidR="009014A9" w:rsidRDefault="00000000">
            <w:r>
              <w:rPr>
                <w:sz w:val="19"/>
                <w:szCs w:val="19"/>
              </w:rPr>
              <w:t>CIEM integration for cloud account discovery and entitlement right-sizing; cloud role certification campaigns; HRMS-to-cloud IAM lifecycle automation</w:t>
            </w:r>
          </w:p>
        </w:tc>
      </w:tr>
      <w:tr w:rsidR="009014A9" w14:paraId="004A89CF" w14:textId="77777777">
        <w:tblPrEx>
          <w:tblCellMar>
            <w:top w:w="0" w:type="dxa"/>
            <w:bottom w:w="0" w:type="dxa"/>
          </w:tblCellMar>
        </w:tblPrEx>
        <w:tc>
          <w:tcPr>
            <w:tcW w:w="950" w:type="dxa"/>
            <w:tcBorders>
              <w:top w:val="single" w:sz="1" w:space="0" w:color="CCCCCC"/>
              <w:left w:val="single" w:sz="1" w:space="0" w:color="CCCCCC"/>
              <w:bottom w:val="single" w:sz="1" w:space="0" w:color="CCCCCC"/>
              <w:right w:val="single" w:sz="1" w:space="0" w:color="CCCCCC"/>
            </w:tcBorders>
            <w:shd w:val="clear" w:color="auto" w:fill="EEF3FB"/>
            <w:tcMar>
              <w:top w:w="80" w:type="dxa"/>
              <w:left w:w="120" w:type="dxa"/>
              <w:bottom w:w="80" w:type="dxa"/>
              <w:right w:w="120" w:type="dxa"/>
            </w:tcMar>
          </w:tcPr>
          <w:p w14:paraId="05EA5EB3" w14:textId="77777777" w:rsidR="009014A9" w:rsidRDefault="00000000">
            <w:r>
              <w:rPr>
                <w:sz w:val="19"/>
                <w:szCs w:val="19"/>
              </w:rPr>
              <w:t>T1098</w:t>
            </w:r>
          </w:p>
        </w:tc>
        <w:tc>
          <w:tcPr>
            <w:tcW w:w="1600" w:type="dxa"/>
            <w:tcBorders>
              <w:top w:val="single" w:sz="1" w:space="0" w:color="CCCCCC"/>
              <w:left w:val="single" w:sz="1" w:space="0" w:color="CCCCCC"/>
              <w:bottom w:val="single" w:sz="1" w:space="0" w:color="CCCCCC"/>
              <w:right w:val="single" w:sz="1" w:space="0" w:color="CCCCCC"/>
            </w:tcBorders>
            <w:shd w:val="clear" w:color="auto" w:fill="EEF3FB"/>
            <w:tcMar>
              <w:top w:w="80" w:type="dxa"/>
              <w:left w:w="120" w:type="dxa"/>
              <w:bottom w:w="80" w:type="dxa"/>
              <w:right w:w="120" w:type="dxa"/>
            </w:tcMar>
          </w:tcPr>
          <w:p w14:paraId="0B3FA96F" w14:textId="77777777" w:rsidR="009014A9" w:rsidRDefault="00000000">
            <w:r>
              <w:rPr>
                <w:sz w:val="19"/>
                <w:szCs w:val="19"/>
              </w:rPr>
              <w:t>Account Manipulation</w:t>
            </w:r>
          </w:p>
        </w:tc>
        <w:tc>
          <w:tcPr>
            <w:tcW w:w="3400" w:type="dxa"/>
            <w:tcBorders>
              <w:top w:val="single" w:sz="1" w:space="0" w:color="CCCCCC"/>
              <w:left w:val="single" w:sz="1" w:space="0" w:color="CCCCCC"/>
              <w:bottom w:val="single" w:sz="1" w:space="0" w:color="CCCCCC"/>
              <w:right w:val="single" w:sz="1" w:space="0" w:color="CCCCCC"/>
            </w:tcBorders>
            <w:shd w:val="clear" w:color="auto" w:fill="EEF3FB"/>
            <w:tcMar>
              <w:top w:w="80" w:type="dxa"/>
              <w:left w:w="120" w:type="dxa"/>
              <w:bottom w:w="80" w:type="dxa"/>
              <w:right w:w="120" w:type="dxa"/>
            </w:tcMar>
          </w:tcPr>
          <w:p w14:paraId="2453C7D7" w14:textId="77777777" w:rsidR="009014A9" w:rsidRDefault="00000000">
            <w:r>
              <w:rPr>
                <w:sz w:val="19"/>
                <w:szCs w:val="19"/>
              </w:rPr>
              <w:t>Adversary adds credentials, group memberships, or permissions to existing accounts to maintain or escalate access; out-of-band changes not reflected in IGA identity warehouse</w:t>
            </w:r>
          </w:p>
        </w:tc>
        <w:tc>
          <w:tcPr>
            <w:tcW w:w="3410" w:type="dxa"/>
            <w:tcBorders>
              <w:top w:val="single" w:sz="1" w:space="0" w:color="CCCCCC"/>
              <w:left w:val="single" w:sz="1" w:space="0" w:color="CCCCCC"/>
              <w:bottom w:val="single" w:sz="1" w:space="0" w:color="CCCCCC"/>
              <w:right w:val="single" w:sz="1" w:space="0" w:color="CCCCCC"/>
            </w:tcBorders>
            <w:shd w:val="clear" w:color="auto" w:fill="EEF3FB"/>
            <w:tcMar>
              <w:top w:w="80" w:type="dxa"/>
              <w:left w:w="120" w:type="dxa"/>
              <w:bottom w:w="80" w:type="dxa"/>
              <w:right w:w="120" w:type="dxa"/>
            </w:tcMar>
          </w:tcPr>
          <w:p w14:paraId="3D2645A4" w14:textId="77777777" w:rsidR="009014A9" w:rsidRDefault="00000000">
            <w:r>
              <w:rPr>
                <w:sz w:val="19"/>
                <w:szCs w:val="19"/>
              </w:rPr>
              <w:t>IGA reconciliation detects entitlement additions outside the IGA provisioning workflow; privileged account change alerting in SIEM; entitlement drift alerts</w:t>
            </w:r>
          </w:p>
        </w:tc>
      </w:tr>
      <w:tr w:rsidR="009014A9" w14:paraId="206AB6DA" w14:textId="77777777">
        <w:tblPrEx>
          <w:tblCellMar>
            <w:top w:w="0" w:type="dxa"/>
            <w:bottom w:w="0" w:type="dxa"/>
          </w:tblCellMar>
        </w:tblPrEx>
        <w:tc>
          <w:tcPr>
            <w:tcW w:w="95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6958CE3" w14:textId="77777777" w:rsidR="009014A9" w:rsidRDefault="00000000">
            <w:r>
              <w:rPr>
                <w:sz w:val="19"/>
                <w:szCs w:val="19"/>
              </w:rPr>
              <w:t>T1136</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24AAD44" w14:textId="77777777" w:rsidR="009014A9" w:rsidRDefault="00000000">
            <w:r>
              <w:rPr>
                <w:sz w:val="19"/>
                <w:szCs w:val="19"/>
              </w:rPr>
              <w:t>Create Account</w:t>
            </w:r>
          </w:p>
        </w:tc>
        <w:tc>
          <w:tcPr>
            <w:tcW w:w="3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5E5F8E6" w14:textId="77777777" w:rsidR="009014A9" w:rsidRDefault="00000000">
            <w:r>
              <w:rPr>
                <w:sz w:val="19"/>
                <w:szCs w:val="19"/>
              </w:rPr>
              <w:t>Adversary creates new accounts (local, domain, cloud service) for persistent backdoor access; accounts created outside IGA have no HR-backing and bypass governance</w:t>
            </w:r>
          </w:p>
        </w:tc>
        <w:tc>
          <w:tcPr>
            <w:tcW w:w="341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28A584F" w14:textId="77777777" w:rsidR="009014A9" w:rsidRDefault="00000000">
            <w:r>
              <w:rPr>
                <w:sz w:val="19"/>
                <w:szCs w:val="19"/>
              </w:rPr>
              <w:t>Orphan account detection identifies accounts without HR backing; all accounts required in identity warehouse; SIEM alerting on account creation events</w:t>
            </w:r>
          </w:p>
        </w:tc>
      </w:tr>
      <w:tr w:rsidR="009014A9" w14:paraId="4FF73FE4" w14:textId="77777777">
        <w:tblPrEx>
          <w:tblCellMar>
            <w:top w:w="0" w:type="dxa"/>
            <w:bottom w:w="0" w:type="dxa"/>
          </w:tblCellMar>
        </w:tblPrEx>
        <w:tc>
          <w:tcPr>
            <w:tcW w:w="950" w:type="dxa"/>
            <w:tcBorders>
              <w:top w:val="single" w:sz="1" w:space="0" w:color="CCCCCC"/>
              <w:left w:val="single" w:sz="1" w:space="0" w:color="CCCCCC"/>
              <w:bottom w:val="single" w:sz="1" w:space="0" w:color="CCCCCC"/>
              <w:right w:val="single" w:sz="1" w:space="0" w:color="CCCCCC"/>
            </w:tcBorders>
            <w:shd w:val="clear" w:color="auto" w:fill="EEF3FB"/>
            <w:tcMar>
              <w:top w:w="80" w:type="dxa"/>
              <w:left w:w="120" w:type="dxa"/>
              <w:bottom w:w="80" w:type="dxa"/>
              <w:right w:w="120" w:type="dxa"/>
            </w:tcMar>
          </w:tcPr>
          <w:p w14:paraId="38F58F1B" w14:textId="77777777" w:rsidR="009014A9" w:rsidRDefault="00000000">
            <w:r>
              <w:rPr>
                <w:sz w:val="19"/>
                <w:szCs w:val="19"/>
              </w:rPr>
              <w:t>T1087</w:t>
            </w:r>
          </w:p>
        </w:tc>
        <w:tc>
          <w:tcPr>
            <w:tcW w:w="1600" w:type="dxa"/>
            <w:tcBorders>
              <w:top w:val="single" w:sz="1" w:space="0" w:color="CCCCCC"/>
              <w:left w:val="single" w:sz="1" w:space="0" w:color="CCCCCC"/>
              <w:bottom w:val="single" w:sz="1" w:space="0" w:color="CCCCCC"/>
              <w:right w:val="single" w:sz="1" w:space="0" w:color="CCCCCC"/>
            </w:tcBorders>
            <w:shd w:val="clear" w:color="auto" w:fill="EEF3FB"/>
            <w:tcMar>
              <w:top w:w="80" w:type="dxa"/>
              <w:left w:w="120" w:type="dxa"/>
              <w:bottom w:w="80" w:type="dxa"/>
              <w:right w:w="120" w:type="dxa"/>
            </w:tcMar>
          </w:tcPr>
          <w:p w14:paraId="3F7FC458" w14:textId="77777777" w:rsidR="009014A9" w:rsidRDefault="00000000">
            <w:r>
              <w:rPr>
                <w:sz w:val="19"/>
                <w:szCs w:val="19"/>
              </w:rPr>
              <w:t>Account Discovery</w:t>
            </w:r>
          </w:p>
        </w:tc>
        <w:tc>
          <w:tcPr>
            <w:tcW w:w="3400" w:type="dxa"/>
            <w:tcBorders>
              <w:top w:val="single" w:sz="1" w:space="0" w:color="CCCCCC"/>
              <w:left w:val="single" w:sz="1" w:space="0" w:color="CCCCCC"/>
              <w:bottom w:val="single" w:sz="1" w:space="0" w:color="CCCCCC"/>
              <w:right w:val="single" w:sz="1" w:space="0" w:color="CCCCCC"/>
            </w:tcBorders>
            <w:shd w:val="clear" w:color="auto" w:fill="EEF3FB"/>
            <w:tcMar>
              <w:top w:w="80" w:type="dxa"/>
              <w:left w:w="120" w:type="dxa"/>
              <w:bottom w:w="80" w:type="dxa"/>
              <w:right w:w="120" w:type="dxa"/>
            </w:tcMar>
          </w:tcPr>
          <w:p w14:paraId="239C2D07" w14:textId="77777777" w:rsidR="009014A9" w:rsidRDefault="00000000">
            <w:r>
              <w:rPr>
                <w:sz w:val="19"/>
                <w:szCs w:val="19"/>
              </w:rPr>
              <w:t>Adversary enumerates users, groups, and entitlements to identify high-value targets; unrestricted LDAP queries and SCIM endpoint access enable reconnaissance</w:t>
            </w:r>
          </w:p>
        </w:tc>
        <w:tc>
          <w:tcPr>
            <w:tcW w:w="3410" w:type="dxa"/>
            <w:tcBorders>
              <w:top w:val="single" w:sz="1" w:space="0" w:color="CCCCCC"/>
              <w:left w:val="single" w:sz="1" w:space="0" w:color="CCCCCC"/>
              <w:bottom w:val="single" w:sz="1" w:space="0" w:color="CCCCCC"/>
              <w:right w:val="single" w:sz="1" w:space="0" w:color="CCCCCC"/>
            </w:tcBorders>
            <w:shd w:val="clear" w:color="auto" w:fill="EEF3FB"/>
            <w:tcMar>
              <w:top w:w="80" w:type="dxa"/>
              <w:left w:w="120" w:type="dxa"/>
              <w:bottom w:w="80" w:type="dxa"/>
              <w:right w:w="120" w:type="dxa"/>
            </w:tcMar>
          </w:tcPr>
          <w:p w14:paraId="39781CD7" w14:textId="77777777" w:rsidR="009014A9" w:rsidRDefault="00000000">
            <w:r>
              <w:rPr>
                <w:sz w:val="19"/>
                <w:szCs w:val="19"/>
              </w:rPr>
              <w:t>Least-privilege access to directory enumeration APIs; SCIM and LDAP access restricted to authorized service accounts; directory query rate limiting and anomaly detection</w:t>
            </w:r>
          </w:p>
        </w:tc>
      </w:tr>
      <w:tr w:rsidR="009014A9" w14:paraId="5D9CD19C" w14:textId="77777777">
        <w:tblPrEx>
          <w:tblCellMar>
            <w:top w:w="0" w:type="dxa"/>
            <w:bottom w:w="0" w:type="dxa"/>
          </w:tblCellMar>
        </w:tblPrEx>
        <w:tc>
          <w:tcPr>
            <w:tcW w:w="95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B5AFB39" w14:textId="77777777" w:rsidR="009014A9" w:rsidRDefault="00000000">
            <w:r>
              <w:rPr>
                <w:sz w:val="19"/>
                <w:szCs w:val="19"/>
              </w:rPr>
              <w:t>T1548</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C649B0A" w14:textId="77777777" w:rsidR="009014A9" w:rsidRDefault="00000000">
            <w:r>
              <w:rPr>
                <w:sz w:val="19"/>
                <w:szCs w:val="19"/>
              </w:rPr>
              <w:t>Abuse Elevation Control</w:t>
            </w:r>
          </w:p>
        </w:tc>
        <w:tc>
          <w:tcPr>
            <w:tcW w:w="3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A9CA699" w14:textId="77777777" w:rsidR="009014A9" w:rsidRDefault="00000000">
            <w:r>
              <w:rPr>
                <w:sz w:val="19"/>
                <w:szCs w:val="19"/>
              </w:rPr>
              <w:t>Excessive standing privileged accounts (always-on admin) exploited post-compromise; adversary already has admin access without needing any additional escalation</w:t>
            </w:r>
          </w:p>
        </w:tc>
        <w:tc>
          <w:tcPr>
            <w:tcW w:w="341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6B01EDC" w14:textId="77777777" w:rsidR="009014A9" w:rsidRDefault="00000000">
            <w:r>
              <w:rPr>
                <w:sz w:val="19"/>
                <w:szCs w:val="19"/>
              </w:rPr>
              <w:t>JIT access model for all privileged accounts; standing privilege elimination via IGA-PAM integration; privileged role certification campaigns to remove unnecessary standing access</w:t>
            </w:r>
          </w:p>
        </w:tc>
      </w:tr>
      <w:tr w:rsidR="009014A9" w14:paraId="19BF7342" w14:textId="77777777">
        <w:tblPrEx>
          <w:tblCellMar>
            <w:top w:w="0" w:type="dxa"/>
            <w:bottom w:w="0" w:type="dxa"/>
          </w:tblCellMar>
        </w:tblPrEx>
        <w:tc>
          <w:tcPr>
            <w:tcW w:w="950" w:type="dxa"/>
            <w:tcBorders>
              <w:top w:val="single" w:sz="1" w:space="0" w:color="CCCCCC"/>
              <w:left w:val="single" w:sz="1" w:space="0" w:color="CCCCCC"/>
              <w:bottom w:val="single" w:sz="1" w:space="0" w:color="CCCCCC"/>
              <w:right w:val="single" w:sz="1" w:space="0" w:color="CCCCCC"/>
            </w:tcBorders>
            <w:shd w:val="clear" w:color="auto" w:fill="EEF3FB"/>
            <w:tcMar>
              <w:top w:w="80" w:type="dxa"/>
              <w:left w:w="120" w:type="dxa"/>
              <w:bottom w:w="80" w:type="dxa"/>
              <w:right w:w="120" w:type="dxa"/>
            </w:tcMar>
          </w:tcPr>
          <w:p w14:paraId="642238E4" w14:textId="77777777" w:rsidR="009014A9" w:rsidRDefault="00000000">
            <w:r>
              <w:rPr>
                <w:sz w:val="19"/>
                <w:szCs w:val="19"/>
              </w:rPr>
              <w:t>T1556</w:t>
            </w:r>
          </w:p>
        </w:tc>
        <w:tc>
          <w:tcPr>
            <w:tcW w:w="1600" w:type="dxa"/>
            <w:tcBorders>
              <w:top w:val="single" w:sz="1" w:space="0" w:color="CCCCCC"/>
              <w:left w:val="single" w:sz="1" w:space="0" w:color="CCCCCC"/>
              <w:bottom w:val="single" w:sz="1" w:space="0" w:color="CCCCCC"/>
              <w:right w:val="single" w:sz="1" w:space="0" w:color="CCCCCC"/>
            </w:tcBorders>
            <w:shd w:val="clear" w:color="auto" w:fill="EEF3FB"/>
            <w:tcMar>
              <w:top w:w="80" w:type="dxa"/>
              <w:left w:w="120" w:type="dxa"/>
              <w:bottom w:w="80" w:type="dxa"/>
              <w:right w:w="120" w:type="dxa"/>
            </w:tcMar>
          </w:tcPr>
          <w:p w14:paraId="0FED8043" w14:textId="77777777" w:rsidR="009014A9" w:rsidRDefault="00000000">
            <w:r>
              <w:rPr>
                <w:sz w:val="19"/>
                <w:szCs w:val="19"/>
              </w:rPr>
              <w:t>Modify Authentication Process</w:t>
            </w:r>
          </w:p>
        </w:tc>
        <w:tc>
          <w:tcPr>
            <w:tcW w:w="3400" w:type="dxa"/>
            <w:tcBorders>
              <w:top w:val="single" w:sz="1" w:space="0" w:color="CCCCCC"/>
              <w:left w:val="single" w:sz="1" w:space="0" w:color="CCCCCC"/>
              <w:bottom w:val="single" w:sz="1" w:space="0" w:color="CCCCCC"/>
              <w:right w:val="single" w:sz="1" w:space="0" w:color="CCCCCC"/>
            </w:tcBorders>
            <w:shd w:val="clear" w:color="auto" w:fill="EEF3FB"/>
            <w:tcMar>
              <w:top w:w="80" w:type="dxa"/>
              <w:left w:w="120" w:type="dxa"/>
              <w:bottom w:w="80" w:type="dxa"/>
              <w:right w:w="120" w:type="dxa"/>
            </w:tcMar>
          </w:tcPr>
          <w:p w14:paraId="255E405D" w14:textId="77777777" w:rsidR="009014A9" w:rsidRDefault="00000000">
            <w:r>
              <w:rPr>
                <w:sz w:val="19"/>
                <w:szCs w:val="19"/>
              </w:rPr>
              <w:t xml:space="preserve">Adversary with elevated access modifies authentication components (AD password filter, LSASS plugins); excessive </w:t>
            </w:r>
            <w:r>
              <w:rPr>
                <w:sz w:val="19"/>
                <w:szCs w:val="19"/>
              </w:rPr>
              <w:lastRenderedPageBreak/>
              <w:t>entitlements to domain controllers enable modification</w:t>
            </w:r>
          </w:p>
        </w:tc>
        <w:tc>
          <w:tcPr>
            <w:tcW w:w="3410" w:type="dxa"/>
            <w:tcBorders>
              <w:top w:val="single" w:sz="1" w:space="0" w:color="CCCCCC"/>
              <w:left w:val="single" w:sz="1" w:space="0" w:color="CCCCCC"/>
              <w:bottom w:val="single" w:sz="1" w:space="0" w:color="CCCCCC"/>
              <w:right w:val="single" w:sz="1" w:space="0" w:color="CCCCCC"/>
            </w:tcBorders>
            <w:shd w:val="clear" w:color="auto" w:fill="EEF3FB"/>
            <w:tcMar>
              <w:top w:w="80" w:type="dxa"/>
              <w:left w:w="120" w:type="dxa"/>
              <w:bottom w:w="80" w:type="dxa"/>
              <w:right w:w="120" w:type="dxa"/>
            </w:tcMar>
          </w:tcPr>
          <w:p w14:paraId="2BD80834" w14:textId="77777777" w:rsidR="009014A9" w:rsidRDefault="00000000">
            <w:proofErr w:type="spellStart"/>
            <w:r>
              <w:rPr>
                <w:sz w:val="19"/>
                <w:szCs w:val="19"/>
              </w:rPr>
              <w:lastRenderedPageBreak/>
              <w:t>SoD</w:t>
            </w:r>
            <w:proofErr w:type="spellEnd"/>
            <w:r>
              <w:rPr>
                <w:sz w:val="19"/>
                <w:szCs w:val="19"/>
              </w:rPr>
              <w:t xml:space="preserve"> controls prevent any single identity from having write access to authentication infrastructure </w:t>
            </w:r>
            <w:proofErr w:type="gramStart"/>
            <w:r>
              <w:rPr>
                <w:sz w:val="19"/>
                <w:szCs w:val="19"/>
              </w:rPr>
              <w:t>and also</w:t>
            </w:r>
            <w:proofErr w:type="gramEnd"/>
            <w:r>
              <w:rPr>
                <w:sz w:val="19"/>
                <w:szCs w:val="19"/>
              </w:rPr>
              <w:t xml:space="preserve"> holding business entitlements; </w:t>
            </w:r>
            <w:r>
              <w:rPr>
                <w:sz w:val="19"/>
                <w:szCs w:val="19"/>
              </w:rPr>
              <w:lastRenderedPageBreak/>
              <w:t>Tier 0 access governed under strictest JIT model</w:t>
            </w:r>
          </w:p>
        </w:tc>
      </w:tr>
    </w:tbl>
    <w:p w14:paraId="60B55F93" w14:textId="77777777" w:rsidR="009014A9" w:rsidRDefault="00000000">
      <w:r>
        <w:lastRenderedPageBreak/>
        <w:br w:type="page"/>
      </w:r>
    </w:p>
    <w:p w14:paraId="292077E0" w14:textId="77777777" w:rsidR="009014A9" w:rsidRDefault="00000000">
      <w:pPr>
        <w:pStyle w:val="Heading1"/>
        <w:pBdr>
          <w:bottom w:val="single" w:sz="6" w:space="1" w:color="1A3C5E"/>
        </w:pBdr>
      </w:pPr>
      <w:r>
        <w:rPr>
          <w:color w:val="1A3C5E"/>
        </w:rPr>
        <w:lastRenderedPageBreak/>
        <w:t>10. IGA Vendor Landscape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759"/>
        <w:gridCol w:w="1385"/>
        <w:gridCol w:w="3831"/>
        <w:gridCol w:w="2385"/>
      </w:tblGrid>
      <w:tr w:rsidR="009014A9" w14:paraId="32C2C3E4"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1A3C5E"/>
            <w:tcMar>
              <w:top w:w="80" w:type="dxa"/>
              <w:left w:w="120" w:type="dxa"/>
              <w:bottom w:w="80" w:type="dxa"/>
              <w:right w:w="120" w:type="dxa"/>
            </w:tcMar>
          </w:tcPr>
          <w:p w14:paraId="5DA38E4F" w14:textId="77777777" w:rsidR="009014A9" w:rsidRDefault="00000000">
            <w:r>
              <w:rPr>
                <w:b/>
                <w:bCs/>
                <w:color w:val="FFFFFF"/>
                <w:sz w:val="20"/>
                <w:szCs w:val="20"/>
              </w:rPr>
              <w:t>Vendor</w:t>
            </w:r>
          </w:p>
        </w:tc>
        <w:tc>
          <w:tcPr>
            <w:tcW w:w="1100" w:type="dxa"/>
            <w:tcBorders>
              <w:top w:val="single" w:sz="1" w:space="0" w:color="CCCCCC"/>
              <w:left w:val="single" w:sz="1" w:space="0" w:color="CCCCCC"/>
              <w:bottom w:val="single" w:sz="1" w:space="0" w:color="CCCCCC"/>
              <w:right w:val="single" w:sz="1" w:space="0" w:color="CCCCCC"/>
            </w:tcBorders>
            <w:shd w:val="clear" w:color="auto" w:fill="1A3C5E"/>
            <w:tcMar>
              <w:top w:w="80" w:type="dxa"/>
              <w:left w:w="120" w:type="dxa"/>
              <w:bottom w:w="80" w:type="dxa"/>
              <w:right w:w="120" w:type="dxa"/>
            </w:tcMar>
          </w:tcPr>
          <w:p w14:paraId="669766E8" w14:textId="77777777" w:rsidR="009014A9" w:rsidRDefault="00000000">
            <w:r>
              <w:rPr>
                <w:b/>
                <w:bCs/>
                <w:color w:val="FFFFFF"/>
                <w:sz w:val="20"/>
                <w:szCs w:val="20"/>
              </w:rPr>
              <w:t>Deployment</w:t>
            </w:r>
          </w:p>
        </w:tc>
        <w:tc>
          <w:tcPr>
            <w:tcW w:w="4000" w:type="dxa"/>
            <w:tcBorders>
              <w:top w:val="single" w:sz="1" w:space="0" w:color="CCCCCC"/>
              <w:left w:val="single" w:sz="1" w:space="0" w:color="CCCCCC"/>
              <w:bottom w:val="single" w:sz="1" w:space="0" w:color="CCCCCC"/>
              <w:right w:val="single" w:sz="1" w:space="0" w:color="CCCCCC"/>
            </w:tcBorders>
            <w:shd w:val="clear" w:color="auto" w:fill="1A3C5E"/>
            <w:tcMar>
              <w:top w:w="80" w:type="dxa"/>
              <w:left w:w="120" w:type="dxa"/>
              <w:bottom w:w="80" w:type="dxa"/>
              <w:right w:w="120" w:type="dxa"/>
            </w:tcMar>
          </w:tcPr>
          <w:p w14:paraId="5953B5EF" w14:textId="77777777" w:rsidR="009014A9" w:rsidRDefault="00000000">
            <w:r>
              <w:rPr>
                <w:b/>
                <w:bCs/>
                <w:color w:val="FFFFFF"/>
                <w:sz w:val="20"/>
                <w:szCs w:val="20"/>
              </w:rPr>
              <w:t>Key Strengths</w:t>
            </w:r>
          </w:p>
        </w:tc>
        <w:tc>
          <w:tcPr>
            <w:tcW w:w="2460" w:type="dxa"/>
            <w:tcBorders>
              <w:top w:val="single" w:sz="1" w:space="0" w:color="CCCCCC"/>
              <w:left w:val="single" w:sz="1" w:space="0" w:color="CCCCCC"/>
              <w:bottom w:val="single" w:sz="1" w:space="0" w:color="CCCCCC"/>
              <w:right w:val="single" w:sz="1" w:space="0" w:color="CCCCCC"/>
            </w:tcBorders>
            <w:shd w:val="clear" w:color="auto" w:fill="1A3C5E"/>
            <w:tcMar>
              <w:top w:w="80" w:type="dxa"/>
              <w:left w:w="120" w:type="dxa"/>
              <w:bottom w:w="80" w:type="dxa"/>
              <w:right w:w="120" w:type="dxa"/>
            </w:tcMar>
          </w:tcPr>
          <w:p w14:paraId="7B7781FD" w14:textId="77777777" w:rsidR="009014A9" w:rsidRDefault="00000000">
            <w:r>
              <w:rPr>
                <w:b/>
                <w:bCs/>
                <w:color w:val="FFFFFF"/>
                <w:sz w:val="20"/>
                <w:szCs w:val="20"/>
              </w:rPr>
              <w:t>Best For</w:t>
            </w:r>
          </w:p>
        </w:tc>
      </w:tr>
      <w:tr w:rsidR="009014A9" w14:paraId="6F7059DF"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4E1DAC4" w14:textId="77777777" w:rsidR="009014A9" w:rsidRDefault="00000000">
            <w:r>
              <w:rPr>
                <w:sz w:val="19"/>
                <w:szCs w:val="19"/>
              </w:rPr>
              <w:t>SailPoint Identity Security Cloud</w:t>
            </w:r>
          </w:p>
        </w:tc>
        <w:tc>
          <w:tcPr>
            <w:tcW w:w="11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7928259" w14:textId="77777777" w:rsidR="009014A9" w:rsidRDefault="00000000">
            <w:r>
              <w:rPr>
                <w:sz w:val="19"/>
                <w:szCs w:val="19"/>
              </w:rPr>
              <w:t>SaaS</w:t>
            </w:r>
          </w:p>
        </w:tc>
        <w:tc>
          <w:tcPr>
            <w:tcW w:w="4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A9F4E72" w14:textId="77777777" w:rsidR="009014A9" w:rsidRDefault="00000000">
            <w:r>
              <w:rPr>
                <w:sz w:val="19"/>
                <w:szCs w:val="19"/>
              </w:rPr>
              <w:t xml:space="preserve">Gartner IGA Magic Quadrant Leader; AI Recommendations engine; 200+ pre-built connectors; SailPoint Atlas for unified identity security; File Access Manager for unstructured data (SharePoint, file shares); strong </w:t>
            </w:r>
            <w:proofErr w:type="spellStart"/>
            <w:r>
              <w:rPr>
                <w:sz w:val="19"/>
                <w:szCs w:val="19"/>
              </w:rPr>
              <w:t>SoD</w:t>
            </w:r>
            <w:proofErr w:type="spellEnd"/>
            <w:r>
              <w:rPr>
                <w:sz w:val="19"/>
                <w:szCs w:val="19"/>
              </w:rPr>
              <w:t xml:space="preserve"> engine</w:t>
            </w:r>
          </w:p>
        </w:tc>
        <w:tc>
          <w:tcPr>
            <w:tcW w:w="24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C915B81" w14:textId="77777777" w:rsidR="009014A9" w:rsidRDefault="00000000">
            <w:r>
              <w:rPr>
                <w:sz w:val="19"/>
                <w:szCs w:val="19"/>
              </w:rPr>
              <w:t>Large enterprises; complex multi-application environments; organizations investing in unified identity security across IGA, CIEM, and PAM</w:t>
            </w:r>
          </w:p>
        </w:tc>
      </w:tr>
      <w:tr w:rsidR="009014A9" w14:paraId="7A0CB109"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EEF3FB"/>
            <w:tcMar>
              <w:top w:w="80" w:type="dxa"/>
              <w:left w:w="120" w:type="dxa"/>
              <w:bottom w:w="80" w:type="dxa"/>
              <w:right w:w="120" w:type="dxa"/>
            </w:tcMar>
          </w:tcPr>
          <w:p w14:paraId="4434C383" w14:textId="77777777" w:rsidR="009014A9" w:rsidRDefault="00000000">
            <w:r>
              <w:rPr>
                <w:sz w:val="19"/>
                <w:szCs w:val="19"/>
              </w:rPr>
              <w:t>Saviynt Enterprise Identity Cloud</w:t>
            </w:r>
          </w:p>
        </w:tc>
        <w:tc>
          <w:tcPr>
            <w:tcW w:w="1100" w:type="dxa"/>
            <w:tcBorders>
              <w:top w:val="single" w:sz="1" w:space="0" w:color="CCCCCC"/>
              <w:left w:val="single" w:sz="1" w:space="0" w:color="CCCCCC"/>
              <w:bottom w:val="single" w:sz="1" w:space="0" w:color="CCCCCC"/>
              <w:right w:val="single" w:sz="1" w:space="0" w:color="CCCCCC"/>
            </w:tcBorders>
            <w:shd w:val="clear" w:color="auto" w:fill="EEF3FB"/>
            <w:tcMar>
              <w:top w:w="80" w:type="dxa"/>
              <w:left w:w="120" w:type="dxa"/>
              <w:bottom w:w="80" w:type="dxa"/>
              <w:right w:w="120" w:type="dxa"/>
            </w:tcMar>
          </w:tcPr>
          <w:p w14:paraId="373D4A0A" w14:textId="77777777" w:rsidR="009014A9" w:rsidRDefault="00000000">
            <w:r>
              <w:rPr>
                <w:sz w:val="19"/>
                <w:szCs w:val="19"/>
              </w:rPr>
              <w:t>SaaS</w:t>
            </w:r>
          </w:p>
        </w:tc>
        <w:tc>
          <w:tcPr>
            <w:tcW w:w="4000" w:type="dxa"/>
            <w:tcBorders>
              <w:top w:val="single" w:sz="1" w:space="0" w:color="CCCCCC"/>
              <w:left w:val="single" w:sz="1" w:space="0" w:color="CCCCCC"/>
              <w:bottom w:val="single" w:sz="1" w:space="0" w:color="CCCCCC"/>
              <w:right w:val="single" w:sz="1" w:space="0" w:color="CCCCCC"/>
            </w:tcBorders>
            <w:shd w:val="clear" w:color="auto" w:fill="EEF3FB"/>
            <w:tcMar>
              <w:top w:w="80" w:type="dxa"/>
              <w:left w:w="120" w:type="dxa"/>
              <w:bottom w:w="80" w:type="dxa"/>
              <w:right w:w="120" w:type="dxa"/>
            </w:tcMar>
          </w:tcPr>
          <w:p w14:paraId="454E261E" w14:textId="77777777" w:rsidR="009014A9" w:rsidRDefault="00000000">
            <w:r>
              <w:rPr>
                <w:sz w:val="19"/>
                <w:szCs w:val="19"/>
              </w:rPr>
              <w:t>Native CIEM and PAM governance in single platform; strong AWS, Azure, and GCP entitlement governance; Application Access Governance module; Healthcare and Financial Services reference customers</w:t>
            </w:r>
          </w:p>
        </w:tc>
        <w:tc>
          <w:tcPr>
            <w:tcW w:w="2460" w:type="dxa"/>
            <w:tcBorders>
              <w:top w:val="single" w:sz="1" w:space="0" w:color="CCCCCC"/>
              <w:left w:val="single" w:sz="1" w:space="0" w:color="CCCCCC"/>
              <w:bottom w:val="single" w:sz="1" w:space="0" w:color="CCCCCC"/>
              <w:right w:val="single" w:sz="1" w:space="0" w:color="CCCCCC"/>
            </w:tcBorders>
            <w:shd w:val="clear" w:color="auto" w:fill="EEF3FB"/>
            <w:tcMar>
              <w:top w:w="80" w:type="dxa"/>
              <w:left w:w="120" w:type="dxa"/>
              <w:bottom w:w="80" w:type="dxa"/>
              <w:right w:w="120" w:type="dxa"/>
            </w:tcMar>
          </w:tcPr>
          <w:p w14:paraId="6219277C" w14:textId="77777777" w:rsidR="009014A9" w:rsidRDefault="00000000">
            <w:r>
              <w:rPr>
                <w:sz w:val="19"/>
                <w:szCs w:val="19"/>
              </w:rPr>
              <w:t>Cloud-heavy organizations; combined IGA+CIEM governance without separate tooling; regulated sectors requiring deep application governance</w:t>
            </w:r>
          </w:p>
        </w:tc>
      </w:tr>
      <w:tr w:rsidR="009014A9" w14:paraId="3E0E3273"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3F0A32D" w14:textId="77777777" w:rsidR="009014A9" w:rsidRDefault="00000000">
            <w:r>
              <w:rPr>
                <w:sz w:val="19"/>
                <w:szCs w:val="19"/>
              </w:rPr>
              <w:t>Microsoft Entra ID Governance</w:t>
            </w:r>
          </w:p>
        </w:tc>
        <w:tc>
          <w:tcPr>
            <w:tcW w:w="11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1B0C765" w14:textId="77777777" w:rsidR="009014A9" w:rsidRDefault="00000000">
            <w:r>
              <w:rPr>
                <w:sz w:val="19"/>
                <w:szCs w:val="19"/>
              </w:rPr>
              <w:t>SaaS (Entra P2)</w:t>
            </w:r>
          </w:p>
        </w:tc>
        <w:tc>
          <w:tcPr>
            <w:tcW w:w="4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5DE4390" w14:textId="77777777" w:rsidR="009014A9" w:rsidRDefault="00000000">
            <w:r>
              <w:rPr>
                <w:sz w:val="19"/>
                <w:szCs w:val="19"/>
              </w:rPr>
              <w:t>Native Azure and Microsoft 365 integration; Entitlement Management for access packages; Access Reviews for group and app certification; Lifecycle Workflows for JML automation; Entra PIM for privileged role governance</w:t>
            </w:r>
          </w:p>
        </w:tc>
        <w:tc>
          <w:tcPr>
            <w:tcW w:w="24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AD2A4EF" w14:textId="77777777" w:rsidR="009014A9" w:rsidRDefault="00000000">
            <w:r>
              <w:rPr>
                <w:sz w:val="19"/>
                <w:szCs w:val="19"/>
              </w:rPr>
              <w:t>Microsoft-centric organizations; Entra ID P2 licensed environments; straightforward IGA requirements integrated with existing Microsoft tooling</w:t>
            </w:r>
          </w:p>
        </w:tc>
      </w:tr>
      <w:tr w:rsidR="009014A9" w14:paraId="6F031681"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EEF3FB"/>
            <w:tcMar>
              <w:top w:w="80" w:type="dxa"/>
              <w:left w:w="120" w:type="dxa"/>
              <w:bottom w:w="80" w:type="dxa"/>
              <w:right w:w="120" w:type="dxa"/>
            </w:tcMar>
          </w:tcPr>
          <w:p w14:paraId="41B24683" w14:textId="77777777" w:rsidR="009014A9" w:rsidRDefault="00000000">
            <w:r>
              <w:rPr>
                <w:sz w:val="19"/>
                <w:szCs w:val="19"/>
              </w:rPr>
              <w:t>IBM Security Verify Governance</w:t>
            </w:r>
          </w:p>
        </w:tc>
        <w:tc>
          <w:tcPr>
            <w:tcW w:w="1100" w:type="dxa"/>
            <w:tcBorders>
              <w:top w:val="single" w:sz="1" w:space="0" w:color="CCCCCC"/>
              <w:left w:val="single" w:sz="1" w:space="0" w:color="CCCCCC"/>
              <w:bottom w:val="single" w:sz="1" w:space="0" w:color="CCCCCC"/>
              <w:right w:val="single" w:sz="1" w:space="0" w:color="CCCCCC"/>
            </w:tcBorders>
            <w:shd w:val="clear" w:color="auto" w:fill="EEF3FB"/>
            <w:tcMar>
              <w:top w:w="80" w:type="dxa"/>
              <w:left w:w="120" w:type="dxa"/>
              <w:bottom w:w="80" w:type="dxa"/>
              <w:right w:w="120" w:type="dxa"/>
            </w:tcMar>
          </w:tcPr>
          <w:p w14:paraId="6F47D62B" w14:textId="77777777" w:rsidR="009014A9" w:rsidRDefault="00000000">
            <w:r>
              <w:rPr>
                <w:sz w:val="19"/>
                <w:szCs w:val="19"/>
              </w:rPr>
              <w:t>SaaS / On-Prem / Hybrid</w:t>
            </w:r>
          </w:p>
        </w:tc>
        <w:tc>
          <w:tcPr>
            <w:tcW w:w="4000" w:type="dxa"/>
            <w:tcBorders>
              <w:top w:val="single" w:sz="1" w:space="0" w:color="CCCCCC"/>
              <w:left w:val="single" w:sz="1" w:space="0" w:color="CCCCCC"/>
              <w:bottom w:val="single" w:sz="1" w:space="0" w:color="CCCCCC"/>
              <w:right w:val="single" w:sz="1" w:space="0" w:color="CCCCCC"/>
            </w:tcBorders>
            <w:shd w:val="clear" w:color="auto" w:fill="EEF3FB"/>
            <w:tcMar>
              <w:top w:w="80" w:type="dxa"/>
              <w:left w:w="120" w:type="dxa"/>
              <w:bottom w:w="80" w:type="dxa"/>
              <w:right w:w="120" w:type="dxa"/>
            </w:tcMar>
          </w:tcPr>
          <w:p w14:paraId="31F033DF" w14:textId="77777777" w:rsidR="009014A9" w:rsidRDefault="00000000">
            <w:r>
              <w:rPr>
                <w:sz w:val="19"/>
                <w:szCs w:val="19"/>
              </w:rPr>
              <w:t xml:space="preserve">Strong identity analytics; deep SAP and Oracle ERP </w:t>
            </w:r>
            <w:proofErr w:type="spellStart"/>
            <w:r>
              <w:rPr>
                <w:sz w:val="19"/>
                <w:szCs w:val="19"/>
              </w:rPr>
              <w:t>SoD</w:t>
            </w:r>
            <w:proofErr w:type="spellEnd"/>
            <w:r>
              <w:rPr>
                <w:sz w:val="19"/>
                <w:szCs w:val="19"/>
              </w:rPr>
              <w:t xml:space="preserve"> integration; IBM Consulting delivery ecosystem; long enterprise pedigree in BFSI and government sectors</w:t>
            </w:r>
          </w:p>
        </w:tc>
        <w:tc>
          <w:tcPr>
            <w:tcW w:w="2460" w:type="dxa"/>
            <w:tcBorders>
              <w:top w:val="single" w:sz="1" w:space="0" w:color="CCCCCC"/>
              <w:left w:val="single" w:sz="1" w:space="0" w:color="CCCCCC"/>
              <w:bottom w:val="single" w:sz="1" w:space="0" w:color="CCCCCC"/>
              <w:right w:val="single" w:sz="1" w:space="0" w:color="CCCCCC"/>
            </w:tcBorders>
            <w:shd w:val="clear" w:color="auto" w:fill="EEF3FB"/>
            <w:tcMar>
              <w:top w:w="80" w:type="dxa"/>
              <w:left w:w="120" w:type="dxa"/>
              <w:bottom w:w="80" w:type="dxa"/>
              <w:right w:w="120" w:type="dxa"/>
            </w:tcMar>
          </w:tcPr>
          <w:p w14:paraId="6702BC6A" w14:textId="77777777" w:rsidR="009014A9" w:rsidRDefault="00000000">
            <w:r>
              <w:rPr>
                <w:sz w:val="19"/>
                <w:szCs w:val="19"/>
              </w:rPr>
              <w:t xml:space="preserve">SAP-centric enterprises; financial services with complex </w:t>
            </w:r>
            <w:proofErr w:type="spellStart"/>
            <w:r>
              <w:rPr>
                <w:sz w:val="19"/>
                <w:szCs w:val="19"/>
              </w:rPr>
              <w:t>SoD</w:t>
            </w:r>
            <w:proofErr w:type="spellEnd"/>
            <w:r>
              <w:rPr>
                <w:sz w:val="19"/>
                <w:szCs w:val="19"/>
              </w:rPr>
              <w:t xml:space="preserve"> requirements; organizations with IBM enterprise agreements and IBM Consulting presence</w:t>
            </w:r>
          </w:p>
        </w:tc>
      </w:tr>
      <w:tr w:rsidR="009014A9" w14:paraId="1995C0EC"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483578F" w14:textId="77777777" w:rsidR="009014A9" w:rsidRDefault="00000000">
            <w:r>
              <w:rPr>
                <w:sz w:val="19"/>
                <w:szCs w:val="19"/>
              </w:rPr>
              <w:t>One Identity Manager</w:t>
            </w:r>
          </w:p>
        </w:tc>
        <w:tc>
          <w:tcPr>
            <w:tcW w:w="11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DC2FD2A" w14:textId="77777777" w:rsidR="009014A9" w:rsidRDefault="00000000">
            <w:r>
              <w:rPr>
                <w:sz w:val="19"/>
                <w:szCs w:val="19"/>
              </w:rPr>
              <w:t>On-Prem / SaaS (IGO)</w:t>
            </w:r>
          </w:p>
        </w:tc>
        <w:tc>
          <w:tcPr>
            <w:tcW w:w="4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C770388" w14:textId="77777777" w:rsidR="009014A9" w:rsidRDefault="00000000">
            <w:r>
              <w:rPr>
                <w:sz w:val="19"/>
                <w:szCs w:val="19"/>
              </w:rPr>
              <w:t xml:space="preserve">Comprehensive on-premises IGA with deep AD and Windows ecosystem governance; HR sync engine; available as SaaS via Identity Manager </w:t>
            </w:r>
            <w:proofErr w:type="gramStart"/>
            <w:r>
              <w:rPr>
                <w:sz w:val="19"/>
                <w:szCs w:val="19"/>
              </w:rPr>
              <w:t>On</w:t>
            </w:r>
            <w:proofErr w:type="gramEnd"/>
            <w:r>
              <w:rPr>
                <w:sz w:val="19"/>
                <w:szCs w:val="19"/>
              </w:rPr>
              <w:t xml:space="preserve"> Demand; strong in government and EMEA markets</w:t>
            </w:r>
          </w:p>
        </w:tc>
        <w:tc>
          <w:tcPr>
            <w:tcW w:w="24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CCF58FD" w14:textId="77777777" w:rsidR="009014A9" w:rsidRDefault="00000000">
            <w:r>
              <w:rPr>
                <w:sz w:val="19"/>
                <w:szCs w:val="19"/>
              </w:rPr>
              <w:t>On-premises Windows and AD environments; regulated environments with strict data residency requirements; government and public sector</w:t>
            </w:r>
          </w:p>
        </w:tc>
      </w:tr>
      <w:tr w:rsidR="009014A9" w14:paraId="62EBCE4C"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EEF3FB"/>
            <w:tcMar>
              <w:top w:w="80" w:type="dxa"/>
              <w:left w:w="120" w:type="dxa"/>
              <w:bottom w:w="80" w:type="dxa"/>
              <w:right w:w="120" w:type="dxa"/>
            </w:tcMar>
          </w:tcPr>
          <w:p w14:paraId="2116DD80" w14:textId="77777777" w:rsidR="009014A9" w:rsidRDefault="00000000">
            <w:r>
              <w:rPr>
                <w:sz w:val="19"/>
                <w:szCs w:val="19"/>
              </w:rPr>
              <w:t>Omada Identity</w:t>
            </w:r>
          </w:p>
        </w:tc>
        <w:tc>
          <w:tcPr>
            <w:tcW w:w="1100" w:type="dxa"/>
            <w:tcBorders>
              <w:top w:val="single" w:sz="1" w:space="0" w:color="CCCCCC"/>
              <w:left w:val="single" w:sz="1" w:space="0" w:color="CCCCCC"/>
              <w:bottom w:val="single" w:sz="1" w:space="0" w:color="CCCCCC"/>
              <w:right w:val="single" w:sz="1" w:space="0" w:color="CCCCCC"/>
            </w:tcBorders>
            <w:shd w:val="clear" w:color="auto" w:fill="EEF3FB"/>
            <w:tcMar>
              <w:top w:w="80" w:type="dxa"/>
              <w:left w:w="120" w:type="dxa"/>
              <w:bottom w:w="80" w:type="dxa"/>
              <w:right w:w="120" w:type="dxa"/>
            </w:tcMar>
          </w:tcPr>
          <w:p w14:paraId="053C4115" w14:textId="77777777" w:rsidR="009014A9" w:rsidRDefault="00000000">
            <w:r>
              <w:rPr>
                <w:sz w:val="19"/>
                <w:szCs w:val="19"/>
              </w:rPr>
              <w:t>SaaS / On-Prem</w:t>
            </w:r>
          </w:p>
        </w:tc>
        <w:tc>
          <w:tcPr>
            <w:tcW w:w="4000" w:type="dxa"/>
            <w:tcBorders>
              <w:top w:val="single" w:sz="1" w:space="0" w:color="CCCCCC"/>
              <w:left w:val="single" w:sz="1" w:space="0" w:color="CCCCCC"/>
              <w:bottom w:val="single" w:sz="1" w:space="0" w:color="CCCCCC"/>
              <w:right w:val="single" w:sz="1" w:space="0" w:color="CCCCCC"/>
            </w:tcBorders>
            <w:shd w:val="clear" w:color="auto" w:fill="EEF3FB"/>
            <w:tcMar>
              <w:top w:w="80" w:type="dxa"/>
              <w:left w:w="120" w:type="dxa"/>
              <w:bottom w:w="80" w:type="dxa"/>
              <w:right w:w="120" w:type="dxa"/>
            </w:tcMar>
          </w:tcPr>
          <w:p w14:paraId="73998457" w14:textId="77777777" w:rsidR="009014A9" w:rsidRDefault="00000000">
            <w:r>
              <w:rPr>
                <w:sz w:val="19"/>
                <w:szCs w:val="19"/>
              </w:rPr>
              <w:t>Strong European market presence; modular architecture; flexible certification campaigns; GDPR-aligned governance controls; Policy and Role Management module</w:t>
            </w:r>
          </w:p>
        </w:tc>
        <w:tc>
          <w:tcPr>
            <w:tcW w:w="2460" w:type="dxa"/>
            <w:tcBorders>
              <w:top w:val="single" w:sz="1" w:space="0" w:color="CCCCCC"/>
              <w:left w:val="single" w:sz="1" w:space="0" w:color="CCCCCC"/>
              <w:bottom w:val="single" w:sz="1" w:space="0" w:color="CCCCCC"/>
              <w:right w:val="single" w:sz="1" w:space="0" w:color="CCCCCC"/>
            </w:tcBorders>
            <w:shd w:val="clear" w:color="auto" w:fill="EEF3FB"/>
            <w:tcMar>
              <w:top w:w="80" w:type="dxa"/>
              <w:left w:w="120" w:type="dxa"/>
              <w:bottom w:w="80" w:type="dxa"/>
              <w:right w:w="120" w:type="dxa"/>
            </w:tcMar>
          </w:tcPr>
          <w:p w14:paraId="6376E2E8" w14:textId="77777777" w:rsidR="009014A9" w:rsidRDefault="00000000">
            <w:r>
              <w:rPr>
                <w:sz w:val="19"/>
                <w:szCs w:val="19"/>
              </w:rPr>
              <w:t>European organizations; mid-market enterprises; regulated industries; organizations with complex role management requirements and GDPR compliance drivers</w:t>
            </w:r>
          </w:p>
        </w:tc>
      </w:tr>
    </w:tbl>
    <w:p w14:paraId="0B5628A8" w14:textId="77777777" w:rsidR="009014A9" w:rsidRDefault="00000000">
      <w:r>
        <w:br w:type="page"/>
      </w:r>
    </w:p>
    <w:p w14:paraId="03626FDB" w14:textId="77777777" w:rsidR="009014A9" w:rsidRDefault="00000000">
      <w:pPr>
        <w:pStyle w:val="Heading1"/>
        <w:pBdr>
          <w:bottom w:val="single" w:sz="6" w:space="1" w:color="1A3C5E"/>
        </w:pBdr>
      </w:pPr>
      <w:r>
        <w:rPr>
          <w:color w:val="1A3C5E"/>
        </w:rPr>
        <w:lastRenderedPageBreak/>
        <w:t>11. NIST SP 800-53 Rev 5 Control Mapping</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00"/>
        <w:gridCol w:w="2000"/>
        <w:gridCol w:w="6360"/>
      </w:tblGrid>
      <w:tr w:rsidR="009014A9" w14:paraId="068D40DE" w14:textId="77777777">
        <w:tblPrEx>
          <w:tblCellMar>
            <w:top w:w="0" w:type="dxa"/>
            <w:bottom w:w="0" w:type="dxa"/>
          </w:tblCellMar>
        </w:tblPrEx>
        <w:tc>
          <w:tcPr>
            <w:tcW w:w="1000" w:type="dxa"/>
            <w:tcBorders>
              <w:top w:val="single" w:sz="1" w:space="0" w:color="CCCCCC"/>
              <w:left w:val="single" w:sz="1" w:space="0" w:color="CCCCCC"/>
              <w:bottom w:val="single" w:sz="1" w:space="0" w:color="CCCCCC"/>
              <w:right w:val="single" w:sz="1" w:space="0" w:color="CCCCCC"/>
            </w:tcBorders>
            <w:shd w:val="clear" w:color="auto" w:fill="1A3C5E"/>
            <w:tcMar>
              <w:top w:w="80" w:type="dxa"/>
              <w:left w:w="120" w:type="dxa"/>
              <w:bottom w:w="80" w:type="dxa"/>
              <w:right w:w="120" w:type="dxa"/>
            </w:tcMar>
          </w:tcPr>
          <w:p w14:paraId="7269C839" w14:textId="77777777" w:rsidR="009014A9" w:rsidRDefault="00000000">
            <w:r>
              <w:rPr>
                <w:b/>
                <w:bCs/>
                <w:color w:val="FFFFFF"/>
                <w:sz w:val="20"/>
                <w:szCs w:val="20"/>
              </w:rPr>
              <w:t>Control ID</w:t>
            </w:r>
          </w:p>
        </w:tc>
        <w:tc>
          <w:tcPr>
            <w:tcW w:w="2000" w:type="dxa"/>
            <w:tcBorders>
              <w:top w:val="single" w:sz="1" w:space="0" w:color="CCCCCC"/>
              <w:left w:val="single" w:sz="1" w:space="0" w:color="CCCCCC"/>
              <w:bottom w:val="single" w:sz="1" w:space="0" w:color="CCCCCC"/>
              <w:right w:val="single" w:sz="1" w:space="0" w:color="CCCCCC"/>
            </w:tcBorders>
            <w:shd w:val="clear" w:color="auto" w:fill="1A3C5E"/>
            <w:tcMar>
              <w:top w:w="80" w:type="dxa"/>
              <w:left w:w="120" w:type="dxa"/>
              <w:bottom w:w="80" w:type="dxa"/>
              <w:right w:w="120" w:type="dxa"/>
            </w:tcMar>
          </w:tcPr>
          <w:p w14:paraId="5F331E3A" w14:textId="77777777" w:rsidR="009014A9" w:rsidRDefault="00000000">
            <w:r>
              <w:rPr>
                <w:b/>
                <w:bCs/>
                <w:color w:val="FFFFFF"/>
                <w:sz w:val="20"/>
                <w:szCs w:val="20"/>
              </w:rPr>
              <w:t>Control Name</w:t>
            </w:r>
          </w:p>
        </w:tc>
        <w:tc>
          <w:tcPr>
            <w:tcW w:w="6360" w:type="dxa"/>
            <w:tcBorders>
              <w:top w:val="single" w:sz="1" w:space="0" w:color="CCCCCC"/>
              <w:left w:val="single" w:sz="1" w:space="0" w:color="CCCCCC"/>
              <w:bottom w:val="single" w:sz="1" w:space="0" w:color="CCCCCC"/>
              <w:right w:val="single" w:sz="1" w:space="0" w:color="CCCCCC"/>
            </w:tcBorders>
            <w:shd w:val="clear" w:color="auto" w:fill="1A3C5E"/>
            <w:tcMar>
              <w:top w:w="80" w:type="dxa"/>
              <w:left w:w="120" w:type="dxa"/>
              <w:bottom w:w="80" w:type="dxa"/>
              <w:right w:w="120" w:type="dxa"/>
            </w:tcMar>
          </w:tcPr>
          <w:p w14:paraId="471B8A16" w14:textId="77777777" w:rsidR="009014A9" w:rsidRDefault="00000000">
            <w:r>
              <w:rPr>
                <w:b/>
                <w:bCs/>
                <w:color w:val="FFFFFF"/>
                <w:sz w:val="20"/>
                <w:szCs w:val="20"/>
              </w:rPr>
              <w:t>IGA Implementation</w:t>
            </w:r>
          </w:p>
        </w:tc>
      </w:tr>
      <w:tr w:rsidR="009014A9" w14:paraId="4644695A" w14:textId="77777777">
        <w:tblPrEx>
          <w:tblCellMar>
            <w:top w:w="0" w:type="dxa"/>
            <w:bottom w:w="0" w:type="dxa"/>
          </w:tblCellMar>
        </w:tblPrEx>
        <w:tc>
          <w:tcPr>
            <w:tcW w:w="1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3FE3413" w14:textId="77777777" w:rsidR="009014A9" w:rsidRDefault="00000000">
            <w:r>
              <w:rPr>
                <w:sz w:val="19"/>
                <w:szCs w:val="19"/>
              </w:rPr>
              <w:t>AC-2</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A20BC47" w14:textId="77777777" w:rsidR="009014A9" w:rsidRDefault="00000000">
            <w:r>
              <w:rPr>
                <w:sz w:val="19"/>
                <w:szCs w:val="19"/>
              </w:rPr>
              <w:t>Account Management</w:t>
            </w:r>
          </w:p>
        </w:tc>
        <w:tc>
          <w:tcPr>
            <w:tcW w:w="6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4E3E7E7" w14:textId="77777777" w:rsidR="009014A9" w:rsidRDefault="00000000">
            <w:r>
              <w:rPr>
                <w:sz w:val="19"/>
                <w:szCs w:val="19"/>
              </w:rPr>
              <w:t>IGA automates account creation, modification, and deprovisioning driven by HRMS lifecycle events; all changes logged with approver chain; orphaned accounts detected via reconciliation; access reviews provide certification evidence</w:t>
            </w:r>
          </w:p>
        </w:tc>
      </w:tr>
      <w:tr w:rsidR="009014A9" w14:paraId="326F058E" w14:textId="77777777">
        <w:tblPrEx>
          <w:tblCellMar>
            <w:top w:w="0" w:type="dxa"/>
            <w:bottom w:w="0" w:type="dxa"/>
          </w:tblCellMar>
        </w:tblPrEx>
        <w:tc>
          <w:tcPr>
            <w:tcW w:w="1000" w:type="dxa"/>
            <w:tcBorders>
              <w:top w:val="single" w:sz="1" w:space="0" w:color="CCCCCC"/>
              <w:left w:val="single" w:sz="1" w:space="0" w:color="CCCCCC"/>
              <w:bottom w:val="single" w:sz="1" w:space="0" w:color="CCCCCC"/>
              <w:right w:val="single" w:sz="1" w:space="0" w:color="CCCCCC"/>
            </w:tcBorders>
            <w:shd w:val="clear" w:color="auto" w:fill="EEF3FB"/>
            <w:tcMar>
              <w:top w:w="80" w:type="dxa"/>
              <w:left w:w="120" w:type="dxa"/>
              <w:bottom w:w="80" w:type="dxa"/>
              <w:right w:w="120" w:type="dxa"/>
            </w:tcMar>
          </w:tcPr>
          <w:p w14:paraId="498A72C4" w14:textId="77777777" w:rsidR="009014A9" w:rsidRDefault="00000000">
            <w:r>
              <w:rPr>
                <w:sz w:val="19"/>
                <w:szCs w:val="19"/>
              </w:rPr>
              <w:t>AC-2(1)</w:t>
            </w:r>
          </w:p>
        </w:tc>
        <w:tc>
          <w:tcPr>
            <w:tcW w:w="2000" w:type="dxa"/>
            <w:tcBorders>
              <w:top w:val="single" w:sz="1" w:space="0" w:color="CCCCCC"/>
              <w:left w:val="single" w:sz="1" w:space="0" w:color="CCCCCC"/>
              <w:bottom w:val="single" w:sz="1" w:space="0" w:color="CCCCCC"/>
              <w:right w:val="single" w:sz="1" w:space="0" w:color="CCCCCC"/>
            </w:tcBorders>
            <w:shd w:val="clear" w:color="auto" w:fill="EEF3FB"/>
            <w:tcMar>
              <w:top w:w="80" w:type="dxa"/>
              <w:left w:w="120" w:type="dxa"/>
              <w:bottom w:w="80" w:type="dxa"/>
              <w:right w:w="120" w:type="dxa"/>
            </w:tcMar>
          </w:tcPr>
          <w:p w14:paraId="5F61B792" w14:textId="77777777" w:rsidR="009014A9" w:rsidRDefault="00000000">
            <w:r>
              <w:rPr>
                <w:sz w:val="19"/>
                <w:szCs w:val="19"/>
              </w:rPr>
              <w:t>Automated Account Management Support</w:t>
            </w:r>
          </w:p>
        </w:tc>
        <w:tc>
          <w:tcPr>
            <w:tcW w:w="6360" w:type="dxa"/>
            <w:tcBorders>
              <w:top w:val="single" w:sz="1" w:space="0" w:color="CCCCCC"/>
              <w:left w:val="single" w:sz="1" w:space="0" w:color="CCCCCC"/>
              <w:bottom w:val="single" w:sz="1" w:space="0" w:color="CCCCCC"/>
              <w:right w:val="single" w:sz="1" w:space="0" w:color="CCCCCC"/>
            </w:tcBorders>
            <w:shd w:val="clear" w:color="auto" w:fill="EEF3FB"/>
            <w:tcMar>
              <w:top w:w="80" w:type="dxa"/>
              <w:left w:w="120" w:type="dxa"/>
              <w:bottom w:w="80" w:type="dxa"/>
              <w:right w:w="120" w:type="dxa"/>
            </w:tcMar>
          </w:tcPr>
          <w:p w14:paraId="42CC4B3C" w14:textId="77777777" w:rsidR="009014A9" w:rsidRDefault="00000000">
            <w:r>
              <w:rPr>
                <w:sz w:val="19"/>
                <w:szCs w:val="19"/>
              </w:rPr>
              <w:t xml:space="preserve">IGA platform automates Joiner/Mover/Leaver workflows; no manual provisioning for standard accounts; onboarding automated within SLA of HR hire date; account suspension automated on </w:t>
            </w:r>
            <w:proofErr w:type="gramStart"/>
            <w:r>
              <w:rPr>
                <w:sz w:val="19"/>
                <w:szCs w:val="19"/>
              </w:rPr>
              <w:t>same-day</w:t>
            </w:r>
            <w:proofErr w:type="gramEnd"/>
            <w:r>
              <w:rPr>
                <w:sz w:val="19"/>
                <w:szCs w:val="19"/>
              </w:rPr>
              <w:t xml:space="preserve"> of termination event</w:t>
            </w:r>
          </w:p>
        </w:tc>
      </w:tr>
      <w:tr w:rsidR="009014A9" w14:paraId="05C18EA5" w14:textId="77777777">
        <w:tblPrEx>
          <w:tblCellMar>
            <w:top w:w="0" w:type="dxa"/>
            <w:bottom w:w="0" w:type="dxa"/>
          </w:tblCellMar>
        </w:tblPrEx>
        <w:tc>
          <w:tcPr>
            <w:tcW w:w="1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834DA5F" w14:textId="77777777" w:rsidR="009014A9" w:rsidRDefault="00000000">
            <w:r>
              <w:rPr>
                <w:sz w:val="19"/>
                <w:szCs w:val="19"/>
              </w:rPr>
              <w:t>AC-2(3)</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EAA5AC8" w14:textId="77777777" w:rsidR="009014A9" w:rsidRDefault="00000000">
            <w:r>
              <w:rPr>
                <w:sz w:val="19"/>
                <w:szCs w:val="19"/>
              </w:rPr>
              <w:t>Disable Inactive Accounts</w:t>
            </w:r>
          </w:p>
        </w:tc>
        <w:tc>
          <w:tcPr>
            <w:tcW w:w="6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869968D" w14:textId="77777777" w:rsidR="009014A9" w:rsidRDefault="00000000">
            <w:r>
              <w:rPr>
                <w:sz w:val="19"/>
                <w:szCs w:val="19"/>
              </w:rPr>
              <w:t>IGA identifies accounts with no authentication activity in the organization-defined period (commonly 90 days in regulated environments); routes to owner for review; suspends confirmed inactive accounts; records remediation in audit log for compliance evidence</w:t>
            </w:r>
          </w:p>
        </w:tc>
      </w:tr>
      <w:tr w:rsidR="009014A9" w14:paraId="4D3C2F3C" w14:textId="77777777">
        <w:tblPrEx>
          <w:tblCellMar>
            <w:top w:w="0" w:type="dxa"/>
            <w:bottom w:w="0" w:type="dxa"/>
          </w:tblCellMar>
        </w:tblPrEx>
        <w:tc>
          <w:tcPr>
            <w:tcW w:w="1000" w:type="dxa"/>
            <w:tcBorders>
              <w:top w:val="single" w:sz="1" w:space="0" w:color="CCCCCC"/>
              <w:left w:val="single" w:sz="1" w:space="0" w:color="CCCCCC"/>
              <w:bottom w:val="single" w:sz="1" w:space="0" w:color="CCCCCC"/>
              <w:right w:val="single" w:sz="1" w:space="0" w:color="CCCCCC"/>
            </w:tcBorders>
            <w:shd w:val="clear" w:color="auto" w:fill="EEF3FB"/>
            <w:tcMar>
              <w:top w:w="80" w:type="dxa"/>
              <w:left w:w="120" w:type="dxa"/>
              <w:bottom w:w="80" w:type="dxa"/>
              <w:right w:w="120" w:type="dxa"/>
            </w:tcMar>
          </w:tcPr>
          <w:p w14:paraId="6D8A0750" w14:textId="77777777" w:rsidR="009014A9" w:rsidRDefault="00000000">
            <w:r>
              <w:rPr>
                <w:sz w:val="19"/>
                <w:szCs w:val="19"/>
              </w:rPr>
              <w:t>AC-2(7)</w:t>
            </w:r>
          </w:p>
        </w:tc>
        <w:tc>
          <w:tcPr>
            <w:tcW w:w="2000" w:type="dxa"/>
            <w:tcBorders>
              <w:top w:val="single" w:sz="1" w:space="0" w:color="CCCCCC"/>
              <w:left w:val="single" w:sz="1" w:space="0" w:color="CCCCCC"/>
              <w:bottom w:val="single" w:sz="1" w:space="0" w:color="CCCCCC"/>
              <w:right w:val="single" w:sz="1" w:space="0" w:color="CCCCCC"/>
            </w:tcBorders>
            <w:shd w:val="clear" w:color="auto" w:fill="EEF3FB"/>
            <w:tcMar>
              <w:top w:w="80" w:type="dxa"/>
              <w:left w:w="120" w:type="dxa"/>
              <w:bottom w:w="80" w:type="dxa"/>
              <w:right w:w="120" w:type="dxa"/>
            </w:tcMar>
          </w:tcPr>
          <w:p w14:paraId="63476AD1" w14:textId="77777777" w:rsidR="009014A9" w:rsidRDefault="00000000">
            <w:r>
              <w:rPr>
                <w:sz w:val="19"/>
                <w:szCs w:val="19"/>
              </w:rPr>
              <w:t>Privileged User Accounts</w:t>
            </w:r>
          </w:p>
        </w:tc>
        <w:tc>
          <w:tcPr>
            <w:tcW w:w="6360" w:type="dxa"/>
            <w:tcBorders>
              <w:top w:val="single" w:sz="1" w:space="0" w:color="CCCCCC"/>
              <w:left w:val="single" w:sz="1" w:space="0" w:color="CCCCCC"/>
              <w:bottom w:val="single" w:sz="1" w:space="0" w:color="CCCCCC"/>
              <w:right w:val="single" w:sz="1" w:space="0" w:color="CCCCCC"/>
            </w:tcBorders>
            <w:shd w:val="clear" w:color="auto" w:fill="EEF3FB"/>
            <w:tcMar>
              <w:top w:w="80" w:type="dxa"/>
              <w:left w:w="120" w:type="dxa"/>
              <w:bottom w:w="80" w:type="dxa"/>
              <w:right w:w="120" w:type="dxa"/>
            </w:tcMar>
          </w:tcPr>
          <w:p w14:paraId="45D9BD33" w14:textId="77777777" w:rsidR="009014A9" w:rsidRDefault="00000000">
            <w:r>
              <w:rPr>
                <w:sz w:val="19"/>
                <w:szCs w:val="19"/>
              </w:rPr>
              <w:t>All privileged accounts governed through IGA; formal request and approval required for privileged role assignment; quarterly certification; JIT model via PAM-IGA integration reduces standing privilege</w:t>
            </w:r>
          </w:p>
        </w:tc>
      </w:tr>
      <w:tr w:rsidR="009014A9" w14:paraId="04FF9A30" w14:textId="77777777">
        <w:tblPrEx>
          <w:tblCellMar>
            <w:top w:w="0" w:type="dxa"/>
            <w:bottom w:w="0" w:type="dxa"/>
          </w:tblCellMar>
        </w:tblPrEx>
        <w:tc>
          <w:tcPr>
            <w:tcW w:w="1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8ECE53E" w14:textId="77777777" w:rsidR="009014A9" w:rsidRDefault="00000000">
            <w:r>
              <w:rPr>
                <w:sz w:val="19"/>
                <w:szCs w:val="19"/>
              </w:rPr>
              <w:t>AC-5</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3234A33" w14:textId="77777777" w:rsidR="009014A9" w:rsidRDefault="00000000">
            <w:r>
              <w:rPr>
                <w:sz w:val="19"/>
                <w:szCs w:val="19"/>
              </w:rPr>
              <w:t>Separation of Duties</w:t>
            </w:r>
          </w:p>
        </w:tc>
        <w:tc>
          <w:tcPr>
            <w:tcW w:w="6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BE255BB" w14:textId="77777777" w:rsidR="009014A9" w:rsidRDefault="00000000">
            <w:r>
              <w:rPr>
                <w:sz w:val="19"/>
                <w:szCs w:val="19"/>
              </w:rPr>
              <w:t xml:space="preserve">IGA </w:t>
            </w:r>
            <w:proofErr w:type="spellStart"/>
            <w:r>
              <w:rPr>
                <w:sz w:val="19"/>
                <w:szCs w:val="19"/>
              </w:rPr>
              <w:t>SoD</w:t>
            </w:r>
            <w:proofErr w:type="spellEnd"/>
            <w:r>
              <w:rPr>
                <w:sz w:val="19"/>
                <w:szCs w:val="19"/>
              </w:rPr>
              <w:t xml:space="preserve"> rule library enforces preventive controls at request time and detective controls via continuous monitoring; violations routed through remediation workflow; exceptions documented with compensating controls and expiry dates</w:t>
            </w:r>
          </w:p>
        </w:tc>
      </w:tr>
      <w:tr w:rsidR="009014A9" w14:paraId="51DF1763" w14:textId="77777777">
        <w:tblPrEx>
          <w:tblCellMar>
            <w:top w:w="0" w:type="dxa"/>
            <w:bottom w:w="0" w:type="dxa"/>
          </w:tblCellMar>
        </w:tblPrEx>
        <w:tc>
          <w:tcPr>
            <w:tcW w:w="1000" w:type="dxa"/>
            <w:tcBorders>
              <w:top w:val="single" w:sz="1" w:space="0" w:color="CCCCCC"/>
              <w:left w:val="single" w:sz="1" w:space="0" w:color="CCCCCC"/>
              <w:bottom w:val="single" w:sz="1" w:space="0" w:color="CCCCCC"/>
              <w:right w:val="single" w:sz="1" w:space="0" w:color="CCCCCC"/>
            </w:tcBorders>
            <w:shd w:val="clear" w:color="auto" w:fill="EEF3FB"/>
            <w:tcMar>
              <w:top w:w="80" w:type="dxa"/>
              <w:left w:w="120" w:type="dxa"/>
              <w:bottom w:w="80" w:type="dxa"/>
              <w:right w:w="120" w:type="dxa"/>
            </w:tcMar>
          </w:tcPr>
          <w:p w14:paraId="5CCAE034" w14:textId="77777777" w:rsidR="009014A9" w:rsidRDefault="00000000">
            <w:r>
              <w:rPr>
                <w:sz w:val="19"/>
                <w:szCs w:val="19"/>
              </w:rPr>
              <w:t>AC-6</w:t>
            </w:r>
          </w:p>
        </w:tc>
        <w:tc>
          <w:tcPr>
            <w:tcW w:w="2000" w:type="dxa"/>
            <w:tcBorders>
              <w:top w:val="single" w:sz="1" w:space="0" w:color="CCCCCC"/>
              <w:left w:val="single" w:sz="1" w:space="0" w:color="CCCCCC"/>
              <w:bottom w:val="single" w:sz="1" w:space="0" w:color="CCCCCC"/>
              <w:right w:val="single" w:sz="1" w:space="0" w:color="CCCCCC"/>
            </w:tcBorders>
            <w:shd w:val="clear" w:color="auto" w:fill="EEF3FB"/>
            <w:tcMar>
              <w:top w:w="80" w:type="dxa"/>
              <w:left w:w="120" w:type="dxa"/>
              <w:bottom w:w="80" w:type="dxa"/>
              <w:right w:w="120" w:type="dxa"/>
            </w:tcMar>
          </w:tcPr>
          <w:p w14:paraId="6E0810A4" w14:textId="77777777" w:rsidR="009014A9" w:rsidRDefault="00000000">
            <w:r>
              <w:rPr>
                <w:sz w:val="19"/>
                <w:szCs w:val="19"/>
              </w:rPr>
              <w:t>Least Privilege</w:t>
            </w:r>
          </w:p>
        </w:tc>
        <w:tc>
          <w:tcPr>
            <w:tcW w:w="6360" w:type="dxa"/>
            <w:tcBorders>
              <w:top w:val="single" w:sz="1" w:space="0" w:color="CCCCCC"/>
              <w:left w:val="single" w:sz="1" w:space="0" w:color="CCCCCC"/>
              <w:bottom w:val="single" w:sz="1" w:space="0" w:color="CCCCCC"/>
              <w:right w:val="single" w:sz="1" w:space="0" w:color="CCCCCC"/>
            </w:tcBorders>
            <w:shd w:val="clear" w:color="auto" w:fill="EEF3FB"/>
            <w:tcMar>
              <w:top w:w="80" w:type="dxa"/>
              <w:left w:w="120" w:type="dxa"/>
              <w:bottom w:w="80" w:type="dxa"/>
              <w:right w:w="120" w:type="dxa"/>
            </w:tcMar>
          </w:tcPr>
          <w:p w14:paraId="4673570B" w14:textId="77777777" w:rsidR="009014A9" w:rsidRDefault="00000000">
            <w:r>
              <w:rPr>
                <w:sz w:val="19"/>
                <w:szCs w:val="19"/>
              </w:rPr>
              <w:t>Birthright provisioning limited to minimum entitlements by role; access creep addressed through certification campaigns; unused entitlement detection via usage analytics; CIEM extends least-privilege to cloud entitlements</w:t>
            </w:r>
          </w:p>
        </w:tc>
      </w:tr>
      <w:tr w:rsidR="009014A9" w14:paraId="60217E4E" w14:textId="77777777">
        <w:tblPrEx>
          <w:tblCellMar>
            <w:top w:w="0" w:type="dxa"/>
            <w:bottom w:w="0" w:type="dxa"/>
          </w:tblCellMar>
        </w:tblPrEx>
        <w:tc>
          <w:tcPr>
            <w:tcW w:w="1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6911B5C" w14:textId="77777777" w:rsidR="009014A9" w:rsidRDefault="00000000">
            <w:r>
              <w:rPr>
                <w:sz w:val="19"/>
                <w:szCs w:val="19"/>
              </w:rPr>
              <w:t>AC-6(7)</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7D395ED" w14:textId="77777777" w:rsidR="009014A9" w:rsidRDefault="00000000">
            <w:r>
              <w:rPr>
                <w:sz w:val="19"/>
                <w:szCs w:val="19"/>
              </w:rPr>
              <w:t>Review of User Privileges</w:t>
            </w:r>
          </w:p>
        </w:tc>
        <w:tc>
          <w:tcPr>
            <w:tcW w:w="6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B2B8887" w14:textId="77777777" w:rsidR="009014A9" w:rsidRDefault="00000000">
            <w:r>
              <w:rPr>
                <w:sz w:val="19"/>
                <w:szCs w:val="19"/>
              </w:rPr>
              <w:t>IGA certification campaigns provide structured periodic review of all user privileges; high-risk access reviewed quarterly; standard access annually; certification decisions recorded as audit evidence for compliance testing</w:t>
            </w:r>
          </w:p>
        </w:tc>
      </w:tr>
      <w:tr w:rsidR="009014A9" w14:paraId="501A2D37" w14:textId="77777777">
        <w:tblPrEx>
          <w:tblCellMar>
            <w:top w:w="0" w:type="dxa"/>
            <w:bottom w:w="0" w:type="dxa"/>
          </w:tblCellMar>
        </w:tblPrEx>
        <w:tc>
          <w:tcPr>
            <w:tcW w:w="1000" w:type="dxa"/>
            <w:tcBorders>
              <w:top w:val="single" w:sz="1" w:space="0" w:color="CCCCCC"/>
              <w:left w:val="single" w:sz="1" w:space="0" w:color="CCCCCC"/>
              <w:bottom w:val="single" w:sz="1" w:space="0" w:color="CCCCCC"/>
              <w:right w:val="single" w:sz="1" w:space="0" w:color="CCCCCC"/>
            </w:tcBorders>
            <w:shd w:val="clear" w:color="auto" w:fill="EEF3FB"/>
            <w:tcMar>
              <w:top w:w="80" w:type="dxa"/>
              <w:left w:w="120" w:type="dxa"/>
              <w:bottom w:w="80" w:type="dxa"/>
              <w:right w:w="120" w:type="dxa"/>
            </w:tcMar>
          </w:tcPr>
          <w:p w14:paraId="7FF75950" w14:textId="77777777" w:rsidR="009014A9" w:rsidRDefault="00000000">
            <w:r>
              <w:rPr>
                <w:sz w:val="19"/>
                <w:szCs w:val="19"/>
              </w:rPr>
              <w:t>PS-4</w:t>
            </w:r>
          </w:p>
        </w:tc>
        <w:tc>
          <w:tcPr>
            <w:tcW w:w="2000" w:type="dxa"/>
            <w:tcBorders>
              <w:top w:val="single" w:sz="1" w:space="0" w:color="CCCCCC"/>
              <w:left w:val="single" w:sz="1" w:space="0" w:color="CCCCCC"/>
              <w:bottom w:val="single" w:sz="1" w:space="0" w:color="CCCCCC"/>
              <w:right w:val="single" w:sz="1" w:space="0" w:color="CCCCCC"/>
            </w:tcBorders>
            <w:shd w:val="clear" w:color="auto" w:fill="EEF3FB"/>
            <w:tcMar>
              <w:top w:w="80" w:type="dxa"/>
              <w:left w:w="120" w:type="dxa"/>
              <w:bottom w:w="80" w:type="dxa"/>
              <w:right w:w="120" w:type="dxa"/>
            </w:tcMar>
          </w:tcPr>
          <w:p w14:paraId="4F2A503E" w14:textId="77777777" w:rsidR="009014A9" w:rsidRDefault="00000000">
            <w:r>
              <w:rPr>
                <w:sz w:val="19"/>
                <w:szCs w:val="19"/>
              </w:rPr>
              <w:t>Personnel Termination</w:t>
            </w:r>
          </w:p>
        </w:tc>
        <w:tc>
          <w:tcPr>
            <w:tcW w:w="6360" w:type="dxa"/>
            <w:tcBorders>
              <w:top w:val="single" w:sz="1" w:space="0" w:color="CCCCCC"/>
              <w:left w:val="single" w:sz="1" w:space="0" w:color="CCCCCC"/>
              <w:bottom w:val="single" w:sz="1" w:space="0" w:color="CCCCCC"/>
              <w:right w:val="single" w:sz="1" w:space="0" w:color="CCCCCC"/>
            </w:tcBorders>
            <w:shd w:val="clear" w:color="auto" w:fill="EEF3FB"/>
            <w:tcMar>
              <w:top w:w="80" w:type="dxa"/>
              <w:left w:w="120" w:type="dxa"/>
              <w:bottom w:w="80" w:type="dxa"/>
              <w:right w:w="120" w:type="dxa"/>
            </w:tcMar>
          </w:tcPr>
          <w:p w14:paraId="25552FDE" w14:textId="77777777" w:rsidR="009014A9" w:rsidRDefault="00000000">
            <w:r>
              <w:rPr>
                <w:sz w:val="19"/>
                <w:szCs w:val="19"/>
              </w:rPr>
              <w:t>HRMS-IGA integration triggers account suspension within SLA of termination event; all entitlements revoked across all connected systems; session termination; full audit log of deprovisioning actions is compliance evidence for PS-4 testing</w:t>
            </w:r>
          </w:p>
        </w:tc>
      </w:tr>
      <w:tr w:rsidR="009014A9" w14:paraId="3BF00CB7" w14:textId="77777777">
        <w:tblPrEx>
          <w:tblCellMar>
            <w:top w:w="0" w:type="dxa"/>
            <w:bottom w:w="0" w:type="dxa"/>
          </w:tblCellMar>
        </w:tblPrEx>
        <w:tc>
          <w:tcPr>
            <w:tcW w:w="1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7458175" w14:textId="77777777" w:rsidR="009014A9" w:rsidRDefault="00000000">
            <w:r>
              <w:rPr>
                <w:sz w:val="19"/>
                <w:szCs w:val="19"/>
              </w:rPr>
              <w:t>PS-5</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0841D40" w14:textId="77777777" w:rsidR="009014A9" w:rsidRDefault="00000000">
            <w:r>
              <w:rPr>
                <w:sz w:val="19"/>
                <w:szCs w:val="19"/>
              </w:rPr>
              <w:t>Personnel Transfer</w:t>
            </w:r>
          </w:p>
        </w:tc>
        <w:tc>
          <w:tcPr>
            <w:tcW w:w="6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762FF7C" w14:textId="77777777" w:rsidR="009014A9" w:rsidRDefault="00000000">
            <w:r>
              <w:rPr>
                <w:sz w:val="19"/>
                <w:szCs w:val="19"/>
              </w:rPr>
              <w:t xml:space="preserve">IGA Mover workflow removes prior role entitlements and </w:t>
            </w:r>
            <w:proofErr w:type="gramStart"/>
            <w:r>
              <w:rPr>
                <w:sz w:val="19"/>
                <w:szCs w:val="19"/>
              </w:rPr>
              <w:t>provisions</w:t>
            </w:r>
            <w:proofErr w:type="gramEnd"/>
            <w:r>
              <w:rPr>
                <w:sz w:val="19"/>
                <w:szCs w:val="19"/>
              </w:rPr>
              <w:t xml:space="preserve"> new role entitlements on HR transfer event; prevents access creep from role changes; all entitlement changes logged with HR event reference</w:t>
            </w:r>
          </w:p>
        </w:tc>
      </w:tr>
      <w:tr w:rsidR="009014A9" w14:paraId="530B4890" w14:textId="77777777">
        <w:tblPrEx>
          <w:tblCellMar>
            <w:top w:w="0" w:type="dxa"/>
            <w:bottom w:w="0" w:type="dxa"/>
          </w:tblCellMar>
        </w:tblPrEx>
        <w:tc>
          <w:tcPr>
            <w:tcW w:w="1000" w:type="dxa"/>
            <w:tcBorders>
              <w:top w:val="single" w:sz="1" w:space="0" w:color="CCCCCC"/>
              <w:left w:val="single" w:sz="1" w:space="0" w:color="CCCCCC"/>
              <w:bottom w:val="single" w:sz="1" w:space="0" w:color="CCCCCC"/>
              <w:right w:val="single" w:sz="1" w:space="0" w:color="CCCCCC"/>
            </w:tcBorders>
            <w:shd w:val="clear" w:color="auto" w:fill="EEF3FB"/>
            <w:tcMar>
              <w:top w:w="80" w:type="dxa"/>
              <w:left w:w="120" w:type="dxa"/>
              <w:bottom w:w="80" w:type="dxa"/>
              <w:right w:w="120" w:type="dxa"/>
            </w:tcMar>
          </w:tcPr>
          <w:p w14:paraId="0324AC10" w14:textId="77777777" w:rsidR="009014A9" w:rsidRDefault="00000000">
            <w:r>
              <w:rPr>
                <w:sz w:val="19"/>
                <w:szCs w:val="19"/>
              </w:rPr>
              <w:t>AU-2</w:t>
            </w:r>
          </w:p>
        </w:tc>
        <w:tc>
          <w:tcPr>
            <w:tcW w:w="2000" w:type="dxa"/>
            <w:tcBorders>
              <w:top w:val="single" w:sz="1" w:space="0" w:color="CCCCCC"/>
              <w:left w:val="single" w:sz="1" w:space="0" w:color="CCCCCC"/>
              <w:bottom w:val="single" w:sz="1" w:space="0" w:color="CCCCCC"/>
              <w:right w:val="single" w:sz="1" w:space="0" w:color="CCCCCC"/>
            </w:tcBorders>
            <w:shd w:val="clear" w:color="auto" w:fill="EEF3FB"/>
            <w:tcMar>
              <w:top w:w="80" w:type="dxa"/>
              <w:left w:w="120" w:type="dxa"/>
              <w:bottom w:w="80" w:type="dxa"/>
              <w:right w:w="120" w:type="dxa"/>
            </w:tcMar>
          </w:tcPr>
          <w:p w14:paraId="30E9A4A6" w14:textId="77777777" w:rsidR="009014A9" w:rsidRDefault="00000000">
            <w:r>
              <w:rPr>
                <w:sz w:val="19"/>
                <w:szCs w:val="19"/>
              </w:rPr>
              <w:t>Event Logging</w:t>
            </w:r>
          </w:p>
        </w:tc>
        <w:tc>
          <w:tcPr>
            <w:tcW w:w="6360" w:type="dxa"/>
            <w:tcBorders>
              <w:top w:val="single" w:sz="1" w:space="0" w:color="CCCCCC"/>
              <w:left w:val="single" w:sz="1" w:space="0" w:color="CCCCCC"/>
              <w:bottom w:val="single" w:sz="1" w:space="0" w:color="CCCCCC"/>
              <w:right w:val="single" w:sz="1" w:space="0" w:color="CCCCCC"/>
            </w:tcBorders>
            <w:shd w:val="clear" w:color="auto" w:fill="EEF3FB"/>
            <w:tcMar>
              <w:top w:w="80" w:type="dxa"/>
              <w:left w:w="120" w:type="dxa"/>
              <w:bottom w:w="80" w:type="dxa"/>
              <w:right w:w="120" w:type="dxa"/>
            </w:tcMar>
          </w:tcPr>
          <w:p w14:paraId="0E5E4F0C" w14:textId="77777777" w:rsidR="009014A9" w:rsidRDefault="00000000">
            <w:r>
              <w:rPr>
                <w:sz w:val="19"/>
                <w:szCs w:val="19"/>
              </w:rPr>
              <w:t xml:space="preserve">IGA audit trail captures all provisioning, deprovisioning, certification, </w:t>
            </w:r>
            <w:proofErr w:type="spellStart"/>
            <w:r>
              <w:rPr>
                <w:sz w:val="19"/>
                <w:szCs w:val="19"/>
              </w:rPr>
              <w:t>SoD</w:t>
            </w:r>
            <w:proofErr w:type="spellEnd"/>
            <w:r>
              <w:rPr>
                <w:sz w:val="19"/>
                <w:szCs w:val="19"/>
              </w:rPr>
              <w:t xml:space="preserve"> violation, and exception events; logs retained per data retention policy; SIEM integration provides centralized audit log management</w:t>
            </w:r>
          </w:p>
        </w:tc>
      </w:tr>
      <w:tr w:rsidR="009014A9" w14:paraId="45E3C24A" w14:textId="77777777">
        <w:tblPrEx>
          <w:tblCellMar>
            <w:top w:w="0" w:type="dxa"/>
            <w:bottom w:w="0" w:type="dxa"/>
          </w:tblCellMar>
        </w:tblPrEx>
        <w:tc>
          <w:tcPr>
            <w:tcW w:w="1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2EBA7E8" w14:textId="77777777" w:rsidR="009014A9" w:rsidRDefault="00000000">
            <w:r>
              <w:rPr>
                <w:sz w:val="19"/>
                <w:szCs w:val="19"/>
              </w:rPr>
              <w:t>AU-9</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5956930" w14:textId="77777777" w:rsidR="009014A9" w:rsidRDefault="00000000">
            <w:r>
              <w:rPr>
                <w:sz w:val="19"/>
                <w:szCs w:val="19"/>
              </w:rPr>
              <w:t>Protection of Audit Information</w:t>
            </w:r>
          </w:p>
        </w:tc>
        <w:tc>
          <w:tcPr>
            <w:tcW w:w="6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FF144A8" w14:textId="77777777" w:rsidR="009014A9" w:rsidRDefault="00000000">
            <w:r>
              <w:rPr>
                <w:sz w:val="19"/>
                <w:szCs w:val="19"/>
              </w:rPr>
              <w:t xml:space="preserve">IGA audit logs write-protected from modification or deletion by operators; SIEM provides additional immutability; </w:t>
            </w:r>
            <w:proofErr w:type="spellStart"/>
            <w:r>
              <w:rPr>
                <w:sz w:val="19"/>
                <w:szCs w:val="19"/>
              </w:rPr>
              <w:t>SoD</w:t>
            </w:r>
            <w:proofErr w:type="spellEnd"/>
            <w:r>
              <w:rPr>
                <w:sz w:val="19"/>
                <w:szCs w:val="19"/>
              </w:rPr>
              <w:t xml:space="preserve"> rules prevent log administrators from also holding account provisioning roles</w:t>
            </w:r>
          </w:p>
        </w:tc>
      </w:tr>
    </w:tbl>
    <w:p w14:paraId="4DA161E1" w14:textId="77777777" w:rsidR="009014A9" w:rsidRDefault="00000000">
      <w:r>
        <w:br w:type="page"/>
      </w:r>
    </w:p>
    <w:p w14:paraId="4334DC24" w14:textId="77777777" w:rsidR="009014A9" w:rsidRDefault="00000000">
      <w:pPr>
        <w:pStyle w:val="Heading1"/>
        <w:pBdr>
          <w:bottom w:val="single" w:sz="6" w:space="1" w:color="1A3C5E"/>
        </w:pBdr>
      </w:pPr>
      <w:r>
        <w:rPr>
          <w:color w:val="1A3C5E"/>
        </w:rPr>
        <w:lastRenderedPageBreak/>
        <w:t>12. Implementation Roadmap</w:t>
      </w:r>
    </w:p>
    <w:p w14:paraId="5DEE1E07" w14:textId="77777777" w:rsidR="009014A9" w:rsidRDefault="00000000">
      <w:pPr>
        <w:pStyle w:val="Heading2"/>
      </w:pPr>
      <w:r>
        <w:rPr>
          <w:color w:val="2E4B7A"/>
        </w:rPr>
        <w:t>Phase 1: Foundation (Months 1-3)</w:t>
      </w:r>
    </w:p>
    <w:p w14:paraId="1302E14A" w14:textId="77777777" w:rsidR="009014A9" w:rsidRDefault="00000000">
      <w:pPr>
        <w:pStyle w:val="ListParagraph"/>
        <w:numPr>
          <w:ilvl w:val="0"/>
          <w:numId w:val="2"/>
        </w:numPr>
        <w:spacing w:after="80"/>
      </w:pPr>
      <w:r>
        <w:t>IGA platform selection and deployment: Select IGA platform (SailPoint, Saviynt, Entra ID Governance, or equivalent) based on environment complexity, cloud footprint, and integration requirements with existing IAM tooling.</w:t>
      </w:r>
    </w:p>
    <w:p w14:paraId="70899930" w14:textId="77777777" w:rsidR="009014A9" w:rsidRDefault="00000000">
      <w:pPr>
        <w:pStyle w:val="ListParagraph"/>
        <w:numPr>
          <w:ilvl w:val="0"/>
          <w:numId w:val="2"/>
        </w:numPr>
        <w:spacing w:after="80"/>
      </w:pPr>
      <w:r>
        <w:t>HRMS integration: Establish bidirectional integration with HRMS (Workday, SAP SuccessFactors, Oracle HCM) for Joiner, Mover, and Leaver events. Define deprovisioning SLA: same-day account suspension for Leavers; account creation within one business day for Joiners.</w:t>
      </w:r>
    </w:p>
    <w:p w14:paraId="69C6C750" w14:textId="77777777" w:rsidR="009014A9" w:rsidRDefault="00000000">
      <w:pPr>
        <w:pStyle w:val="ListParagraph"/>
        <w:numPr>
          <w:ilvl w:val="0"/>
          <w:numId w:val="2"/>
        </w:numPr>
        <w:spacing w:after="80"/>
      </w:pPr>
      <w:r>
        <w:t>Directory connector: Connect IGA to Active Directory and cloud IdP as the primary provisioning target. All account lifecycle events driven through IGA; eliminate manual IT provisioning for standard access.</w:t>
      </w:r>
    </w:p>
    <w:p w14:paraId="09D93217" w14:textId="77777777" w:rsidR="009014A9" w:rsidRDefault="00000000">
      <w:pPr>
        <w:pStyle w:val="ListParagraph"/>
        <w:numPr>
          <w:ilvl w:val="0"/>
          <w:numId w:val="2"/>
        </w:numPr>
        <w:spacing w:after="80"/>
      </w:pPr>
      <w:r>
        <w:t>Orphaned account remediation: Run initial orphaned account discovery across all connected systems. Remediate accounts with no HR-backing; document all exceptions (service accounts, shared accounts) with formal ownership assignment.</w:t>
      </w:r>
    </w:p>
    <w:p w14:paraId="6C6350A7" w14:textId="77777777" w:rsidR="009014A9" w:rsidRDefault="00000000">
      <w:pPr>
        <w:pStyle w:val="ListParagraph"/>
        <w:numPr>
          <w:ilvl w:val="0"/>
          <w:numId w:val="2"/>
        </w:numPr>
        <w:spacing w:after="80"/>
      </w:pPr>
      <w:r>
        <w:t>Baseline role catalog: Define initial role catalog for the top 50 job function roles with corresponding birthright entitlements. Validate with HR and business application owners.</w:t>
      </w:r>
    </w:p>
    <w:p w14:paraId="391A0EA1" w14:textId="77777777" w:rsidR="009014A9" w:rsidRDefault="00000000">
      <w:pPr>
        <w:pStyle w:val="Heading2"/>
      </w:pPr>
      <w:r>
        <w:rPr>
          <w:color w:val="2E4B7A"/>
        </w:rPr>
        <w:t>Phase 2: Access Governance (Months 4-6)</w:t>
      </w:r>
    </w:p>
    <w:p w14:paraId="37B008FC" w14:textId="77777777" w:rsidR="009014A9" w:rsidRDefault="00000000">
      <w:pPr>
        <w:pStyle w:val="ListParagraph"/>
        <w:numPr>
          <w:ilvl w:val="0"/>
          <w:numId w:val="2"/>
        </w:numPr>
        <w:spacing w:after="80"/>
      </w:pPr>
      <w:r>
        <w:t>First access certification campaign: Launch enterprise-wide access certification for high-risk access (privileged accounts, ERP access, production system access). Establish quarterly certification cadence for privileged access.</w:t>
      </w:r>
    </w:p>
    <w:p w14:paraId="775584DC" w14:textId="77777777" w:rsidR="009014A9" w:rsidRDefault="00000000">
      <w:pPr>
        <w:pStyle w:val="ListParagraph"/>
        <w:numPr>
          <w:ilvl w:val="0"/>
          <w:numId w:val="2"/>
        </w:numPr>
        <w:spacing w:after="80"/>
      </w:pPr>
      <w:proofErr w:type="spellStart"/>
      <w:r>
        <w:t>SoD</w:t>
      </w:r>
      <w:proofErr w:type="spellEnd"/>
      <w:r>
        <w:t xml:space="preserve"> rule library: Define </w:t>
      </w:r>
      <w:proofErr w:type="spellStart"/>
      <w:r>
        <w:t>SoD</w:t>
      </w:r>
      <w:proofErr w:type="spellEnd"/>
      <w:r>
        <w:t xml:space="preserve"> rules for the top business-critical applications (ERP, financial systems, HR systems). Deploy preventive </w:t>
      </w:r>
      <w:proofErr w:type="spellStart"/>
      <w:r>
        <w:t>SoD</w:t>
      </w:r>
      <w:proofErr w:type="spellEnd"/>
      <w:r>
        <w:t xml:space="preserve"> at the access request </w:t>
      </w:r>
      <w:proofErr w:type="gramStart"/>
      <w:r>
        <w:t>layer;</w:t>
      </w:r>
      <w:proofErr w:type="gramEnd"/>
      <w:r>
        <w:t xml:space="preserve"> detective controls for existing violations.</w:t>
      </w:r>
    </w:p>
    <w:p w14:paraId="26D6D98B" w14:textId="77777777" w:rsidR="009014A9" w:rsidRDefault="00000000">
      <w:pPr>
        <w:pStyle w:val="ListParagraph"/>
        <w:numPr>
          <w:ilvl w:val="0"/>
          <w:numId w:val="2"/>
        </w:numPr>
        <w:spacing w:after="80"/>
      </w:pPr>
      <w:r>
        <w:t>SCIM provisioning expansion: Extend SCIM provisioning to the top 20 SaaS applications; automate deprovisioning to achieve the defined Leaver SLA across all applications.</w:t>
      </w:r>
    </w:p>
    <w:p w14:paraId="1B647972" w14:textId="77777777" w:rsidR="009014A9" w:rsidRDefault="00000000">
      <w:pPr>
        <w:pStyle w:val="ListParagraph"/>
        <w:numPr>
          <w:ilvl w:val="0"/>
          <w:numId w:val="2"/>
        </w:numPr>
        <w:spacing w:after="80"/>
      </w:pPr>
      <w:r>
        <w:t>Self-service access request portal: Deploy access request portal with manager and application owner approval workflows; eliminate out-of-band IT provisioning requests via email or ticketing workarounds.</w:t>
      </w:r>
    </w:p>
    <w:p w14:paraId="7893DCFB" w14:textId="77777777" w:rsidR="009014A9" w:rsidRDefault="00000000">
      <w:pPr>
        <w:pStyle w:val="ListParagraph"/>
        <w:numPr>
          <w:ilvl w:val="0"/>
          <w:numId w:val="2"/>
        </w:numPr>
        <w:spacing w:after="80"/>
      </w:pPr>
      <w:r>
        <w:t>Reconciliation deployment: Enable daily reconciliation for high-risk systems; weekly for standard applications. Drift alerts routed to security operations for investigation.</w:t>
      </w:r>
    </w:p>
    <w:p w14:paraId="5B918FD4" w14:textId="77777777" w:rsidR="009014A9" w:rsidRDefault="00000000">
      <w:pPr>
        <w:pStyle w:val="Heading2"/>
      </w:pPr>
      <w:r>
        <w:rPr>
          <w:color w:val="2E4B7A"/>
        </w:rPr>
        <w:t>Phase 3: Advanced Governance (Months 7-12)</w:t>
      </w:r>
    </w:p>
    <w:p w14:paraId="7A47A196" w14:textId="77777777" w:rsidR="009014A9" w:rsidRDefault="00000000">
      <w:pPr>
        <w:pStyle w:val="ListParagraph"/>
        <w:numPr>
          <w:ilvl w:val="0"/>
          <w:numId w:val="2"/>
        </w:numPr>
        <w:spacing w:after="80"/>
      </w:pPr>
      <w:r>
        <w:t>Privileged access governance: Integrate IGA with PAM for JIT provisioning; certify all privileged role assignments quarterly; implement standing privilege elimination program with a defined target date.</w:t>
      </w:r>
    </w:p>
    <w:p w14:paraId="290EF513" w14:textId="77777777" w:rsidR="009014A9" w:rsidRDefault="00000000">
      <w:pPr>
        <w:pStyle w:val="ListParagraph"/>
        <w:numPr>
          <w:ilvl w:val="0"/>
          <w:numId w:val="2"/>
        </w:numPr>
        <w:spacing w:after="80"/>
      </w:pPr>
      <w:r>
        <w:t>Cloud entitlement governance: Deploy CIEM integration; include cloud IAM roles in certification campaigns; implement automated least-privilege right-sizing for cloud service accounts and machine identities.</w:t>
      </w:r>
    </w:p>
    <w:p w14:paraId="3DDC9DDD" w14:textId="77777777" w:rsidR="009014A9" w:rsidRDefault="00000000">
      <w:pPr>
        <w:pStyle w:val="ListParagraph"/>
        <w:numPr>
          <w:ilvl w:val="0"/>
          <w:numId w:val="2"/>
        </w:numPr>
        <w:spacing w:after="80"/>
      </w:pPr>
      <w:r>
        <w:t>Service account governance: Complete service account inventory; enroll all service accounts in secrets management; assign ownership; include in annual certification cycle.</w:t>
      </w:r>
    </w:p>
    <w:p w14:paraId="53A0F775" w14:textId="77777777" w:rsidR="009014A9" w:rsidRDefault="00000000">
      <w:pPr>
        <w:pStyle w:val="ListParagraph"/>
        <w:numPr>
          <w:ilvl w:val="0"/>
          <w:numId w:val="2"/>
        </w:numPr>
        <w:spacing w:after="80"/>
      </w:pPr>
      <w:r>
        <w:lastRenderedPageBreak/>
        <w:t>Identity analytics enablement: Enable peer group analysis and usage-based certification recommendations; configure access risk scoring dashboard for security operations team.</w:t>
      </w:r>
    </w:p>
    <w:p w14:paraId="61422AFA" w14:textId="77777777" w:rsidR="009014A9" w:rsidRDefault="00000000">
      <w:pPr>
        <w:pStyle w:val="ListParagraph"/>
        <w:numPr>
          <w:ilvl w:val="0"/>
          <w:numId w:val="2"/>
        </w:numPr>
        <w:spacing w:after="80"/>
      </w:pPr>
      <w:r>
        <w:t xml:space="preserve">Cross-application </w:t>
      </w:r>
      <w:proofErr w:type="spellStart"/>
      <w:r>
        <w:t>SoD</w:t>
      </w:r>
      <w:proofErr w:type="spellEnd"/>
      <w:r>
        <w:t xml:space="preserve"> expansion: Extend </w:t>
      </w:r>
      <w:proofErr w:type="spellStart"/>
      <w:r>
        <w:t>SoD</w:t>
      </w:r>
      <w:proofErr w:type="spellEnd"/>
      <w:r>
        <w:t xml:space="preserve"> rule library to cover cross-application toxic combinations; implement transaction-level monitoring for </w:t>
      </w:r>
      <w:proofErr w:type="spellStart"/>
      <w:r>
        <w:t>SoD</w:t>
      </w:r>
      <w:proofErr w:type="spellEnd"/>
      <w:r>
        <w:t xml:space="preserve"> exception holders.</w:t>
      </w:r>
    </w:p>
    <w:p w14:paraId="4277B31A" w14:textId="77777777" w:rsidR="009014A9" w:rsidRDefault="00000000">
      <w:pPr>
        <w:pStyle w:val="Heading2"/>
      </w:pPr>
      <w:r>
        <w:rPr>
          <w:color w:val="2E4B7A"/>
        </w:rPr>
        <w:t>Phase 4: Maturity (Months 12+)</w:t>
      </w:r>
    </w:p>
    <w:p w14:paraId="051ED712" w14:textId="77777777" w:rsidR="009014A9" w:rsidRDefault="00000000">
      <w:pPr>
        <w:pStyle w:val="ListParagraph"/>
        <w:numPr>
          <w:ilvl w:val="0"/>
          <w:numId w:val="2"/>
        </w:numPr>
        <w:spacing w:after="80"/>
      </w:pPr>
      <w:r>
        <w:t>Unified identity security: Integrate IGA, PAM, and CIEM into a unified identity security posture; correlate identity risk across human, machine, and cloud identities in a single risk dashboard.</w:t>
      </w:r>
    </w:p>
    <w:p w14:paraId="0B2D933A" w14:textId="77777777" w:rsidR="009014A9" w:rsidRDefault="00000000">
      <w:pPr>
        <w:pStyle w:val="ListParagraph"/>
        <w:numPr>
          <w:ilvl w:val="0"/>
          <w:numId w:val="2"/>
        </w:numPr>
        <w:spacing w:after="80"/>
      </w:pPr>
      <w:r>
        <w:t>Zero standing privilege: All human privileged access time-bound and JIT; no permanent admin account assignments; privileged session credentials expire after defined session window.</w:t>
      </w:r>
    </w:p>
    <w:p w14:paraId="6E75C8B2" w14:textId="77777777" w:rsidR="009014A9" w:rsidRDefault="00000000">
      <w:pPr>
        <w:pStyle w:val="ListParagraph"/>
        <w:numPr>
          <w:ilvl w:val="0"/>
          <w:numId w:val="2"/>
        </w:numPr>
        <w:spacing w:after="80"/>
      </w:pPr>
      <w:r>
        <w:t>AI-driven governance: ML-based certification recommendations achieve 70% or higher auto-certify rate for low-risk access, freeing reviewer capacity for high-risk decisions. Continuously improve recommendation model from reviewer feedback.</w:t>
      </w:r>
    </w:p>
    <w:p w14:paraId="37A15072" w14:textId="77777777" w:rsidR="009014A9" w:rsidRDefault="00000000">
      <w:pPr>
        <w:pStyle w:val="ListParagraph"/>
        <w:numPr>
          <w:ilvl w:val="0"/>
          <w:numId w:val="2"/>
        </w:numPr>
        <w:spacing w:after="80"/>
      </w:pPr>
      <w:r>
        <w:t>Continuous compliance: IGA generates real-time compliance dashboards for SOX ITGC, PCI DSS, HIPAA, and ISO 27001; eliminates manual evidence collection for access control testing during audits.</w:t>
      </w:r>
    </w:p>
    <w:p w14:paraId="429801F3" w14:textId="77777777" w:rsidR="009014A9" w:rsidRDefault="00000000">
      <w:pPr>
        <w:pStyle w:val="ListParagraph"/>
        <w:numPr>
          <w:ilvl w:val="0"/>
          <w:numId w:val="2"/>
        </w:numPr>
        <w:spacing w:after="80"/>
      </w:pPr>
      <w:r>
        <w:t xml:space="preserve">Red team identity exercise: Commission identity-focused red team exercise targeting orphaned account exploitation, </w:t>
      </w:r>
      <w:proofErr w:type="spellStart"/>
      <w:r>
        <w:t>SoD</w:t>
      </w:r>
      <w:proofErr w:type="spellEnd"/>
      <w:r>
        <w:t xml:space="preserve"> bypass techniques, service account credential theft, and access certification manipulation to validate control effectiveness.</w:t>
      </w:r>
    </w:p>
    <w:sectPr w:rsidR="009014A9">
      <w:headerReference w:type="default" r:id="rId7"/>
      <w:footerReference w:type="default" r:id="rId8"/>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DECB621" w14:textId="77777777" w:rsidR="00353880" w:rsidRDefault="00353880">
      <w:r>
        <w:separator/>
      </w:r>
    </w:p>
  </w:endnote>
  <w:endnote w:type="continuationSeparator" w:id="0">
    <w:p w14:paraId="1F09E6AF" w14:textId="77777777" w:rsidR="00353880" w:rsidRDefault="0035388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A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roman"/>
    <w:notTrueType/>
    <w:pitch w:val="default"/>
  </w:font>
  <w:font w:name="Aptos">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E8642AC" w14:textId="77777777" w:rsidR="009014A9" w:rsidRDefault="00000000">
    <w:pPr>
      <w:pBdr>
        <w:top w:val="single" w:sz="4" w:space="1" w:color="CCCCCC"/>
      </w:pBdr>
    </w:pPr>
    <w:r>
      <w:rPr>
        <w:color w:val="888888"/>
        <w:sz w:val="16"/>
        <w:szCs w:val="16"/>
      </w:rPr>
      <w:t xml:space="preserve">CONFIDENTIAL — Internal Use </w:t>
    </w:r>
    <w:proofErr w:type="gramStart"/>
    <w:r>
      <w:rPr>
        <w:color w:val="888888"/>
        <w:sz w:val="16"/>
        <w:szCs w:val="16"/>
      </w:rPr>
      <w:t>Only  |</w:t>
    </w:r>
    <w:proofErr w:type="gramEnd"/>
    <w:r>
      <w:rPr>
        <w:color w:val="888888"/>
        <w:sz w:val="16"/>
        <w:szCs w:val="16"/>
      </w:rPr>
      <w:t xml:space="preserve">  Version </w:t>
    </w:r>
    <w:proofErr w:type="gramStart"/>
    <w:r>
      <w:rPr>
        <w:color w:val="888888"/>
        <w:sz w:val="16"/>
        <w:szCs w:val="16"/>
      </w:rPr>
      <w:t>1.0  |</w:t>
    </w:r>
    <w:proofErr w:type="gramEnd"/>
    <w:r>
      <w:rPr>
        <w:color w:val="888888"/>
        <w:sz w:val="16"/>
        <w:szCs w:val="16"/>
      </w:rPr>
      <w:t xml:space="preserve">  March 2026</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9623FE9" w14:textId="77777777" w:rsidR="00353880" w:rsidRDefault="00353880">
      <w:r>
        <w:separator/>
      </w:r>
    </w:p>
  </w:footnote>
  <w:footnote w:type="continuationSeparator" w:id="0">
    <w:p w14:paraId="3C461A0D" w14:textId="77777777" w:rsidR="00353880" w:rsidRDefault="00353880">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D1633B7" w14:textId="77777777" w:rsidR="009014A9" w:rsidRDefault="00000000">
    <w:pPr>
      <w:pBdr>
        <w:bottom w:val="single" w:sz="4" w:space="1" w:color="1A3C5E"/>
      </w:pBdr>
      <w:tabs>
        <w:tab w:val="right" w:pos="9026"/>
      </w:tabs>
    </w:pPr>
    <w:r>
      <w:rPr>
        <w:color w:val="666666"/>
        <w:sz w:val="18"/>
        <w:szCs w:val="18"/>
      </w:rPr>
      <w:t>Identity Governance &amp; Administration — Security Architecture Reference</w:t>
    </w:r>
    <w:r>
      <w:rPr>
        <w:color w:val="666666"/>
        <w:sz w:val="18"/>
        <w:szCs w:val="18"/>
      </w:rPr>
      <w:tab/>
    </w:r>
    <w:r>
      <w:rPr>
        <w:color w:val="666666"/>
        <w:sz w:val="18"/>
        <w:szCs w:val="18"/>
      </w:rPr>
      <w:fldChar w:fldCharType="begin"/>
    </w:r>
    <w:r>
      <w:rPr>
        <w:color w:val="666666"/>
        <w:sz w:val="18"/>
        <w:szCs w:val="18"/>
      </w:rPr>
      <w:instrText>PAGE</w:instrText>
    </w:r>
    <w:r>
      <w:rPr>
        <w:color w:val="666666"/>
        <w:sz w:val="18"/>
        <w:szCs w:val="18"/>
      </w:rPr>
      <w:fldChar w:fldCharType="separate"/>
    </w:r>
    <w:r w:rsidR="00423007">
      <w:rPr>
        <w:noProof/>
        <w:color w:val="666666"/>
        <w:sz w:val="18"/>
        <w:szCs w:val="18"/>
      </w:rPr>
      <w:t>1</w:t>
    </w:r>
    <w:r>
      <w:rPr>
        <w:color w:val="666666"/>
        <w:sz w:val="18"/>
        <w:szCs w:val="18"/>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BF50CE"/>
    <w:multiLevelType w:val="hybridMultilevel"/>
    <w:tmpl w:val="AABED838"/>
    <w:lvl w:ilvl="0" w:tplc="9DC62422">
      <w:start w:val="1"/>
      <w:numFmt w:val="bullet"/>
      <w:lvlText w:val="●"/>
      <w:lvlJc w:val="left"/>
      <w:pPr>
        <w:ind w:left="720" w:hanging="360"/>
      </w:pPr>
    </w:lvl>
    <w:lvl w:ilvl="1" w:tplc="B338DAB0">
      <w:start w:val="1"/>
      <w:numFmt w:val="bullet"/>
      <w:lvlText w:val="○"/>
      <w:lvlJc w:val="left"/>
      <w:pPr>
        <w:ind w:left="1440" w:hanging="360"/>
      </w:pPr>
    </w:lvl>
    <w:lvl w:ilvl="2" w:tplc="0A0E2B80">
      <w:start w:val="1"/>
      <w:numFmt w:val="bullet"/>
      <w:lvlText w:val="■"/>
      <w:lvlJc w:val="left"/>
      <w:pPr>
        <w:ind w:left="2160" w:hanging="360"/>
      </w:pPr>
    </w:lvl>
    <w:lvl w:ilvl="3" w:tplc="17FA5A6C">
      <w:start w:val="1"/>
      <w:numFmt w:val="bullet"/>
      <w:lvlText w:val="●"/>
      <w:lvlJc w:val="left"/>
      <w:pPr>
        <w:ind w:left="2880" w:hanging="360"/>
      </w:pPr>
    </w:lvl>
    <w:lvl w:ilvl="4" w:tplc="4FD02E1E">
      <w:start w:val="1"/>
      <w:numFmt w:val="bullet"/>
      <w:lvlText w:val="○"/>
      <w:lvlJc w:val="left"/>
      <w:pPr>
        <w:ind w:left="3600" w:hanging="360"/>
      </w:pPr>
    </w:lvl>
    <w:lvl w:ilvl="5" w:tplc="B380B3A4">
      <w:start w:val="1"/>
      <w:numFmt w:val="bullet"/>
      <w:lvlText w:val="■"/>
      <w:lvlJc w:val="left"/>
      <w:pPr>
        <w:ind w:left="4320" w:hanging="360"/>
      </w:pPr>
    </w:lvl>
    <w:lvl w:ilvl="6" w:tplc="4DC8461E">
      <w:start w:val="1"/>
      <w:numFmt w:val="bullet"/>
      <w:lvlText w:val="●"/>
      <w:lvlJc w:val="left"/>
      <w:pPr>
        <w:ind w:left="5040" w:hanging="360"/>
      </w:pPr>
    </w:lvl>
    <w:lvl w:ilvl="7" w:tplc="7E6ECB8A">
      <w:start w:val="1"/>
      <w:numFmt w:val="bullet"/>
      <w:lvlText w:val="●"/>
      <w:lvlJc w:val="left"/>
      <w:pPr>
        <w:ind w:left="5760" w:hanging="360"/>
      </w:pPr>
    </w:lvl>
    <w:lvl w:ilvl="8" w:tplc="2C4E1D76">
      <w:start w:val="1"/>
      <w:numFmt w:val="bullet"/>
      <w:lvlText w:val="●"/>
      <w:lvlJc w:val="left"/>
      <w:pPr>
        <w:ind w:left="6480" w:hanging="360"/>
      </w:pPr>
    </w:lvl>
  </w:abstractNum>
  <w:abstractNum w:abstractNumId="1" w15:restartNumberingAfterBreak="0">
    <w:nsid w:val="07E9312B"/>
    <w:multiLevelType w:val="hybridMultilevel"/>
    <w:tmpl w:val="02862906"/>
    <w:lvl w:ilvl="0" w:tplc="25C6767C">
      <w:start w:val="1"/>
      <w:numFmt w:val="bullet"/>
      <w:lvlText w:val="•"/>
      <w:lvlJc w:val="left"/>
      <w:pPr>
        <w:ind w:left="720" w:hanging="360"/>
      </w:pPr>
    </w:lvl>
    <w:lvl w:ilvl="1" w:tplc="DCD2E7C4">
      <w:start w:val="1"/>
      <w:numFmt w:val="bullet"/>
      <w:lvlText w:val="◦"/>
      <w:lvlJc w:val="left"/>
      <w:pPr>
        <w:ind w:left="1080" w:hanging="360"/>
      </w:pPr>
    </w:lvl>
    <w:lvl w:ilvl="2" w:tplc="EADE095E">
      <w:numFmt w:val="decimal"/>
      <w:lvlText w:val=""/>
      <w:lvlJc w:val="left"/>
    </w:lvl>
    <w:lvl w:ilvl="3" w:tplc="D4462422">
      <w:numFmt w:val="decimal"/>
      <w:lvlText w:val=""/>
      <w:lvlJc w:val="left"/>
    </w:lvl>
    <w:lvl w:ilvl="4" w:tplc="A41E7EAE">
      <w:numFmt w:val="decimal"/>
      <w:lvlText w:val=""/>
      <w:lvlJc w:val="left"/>
    </w:lvl>
    <w:lvl w:ilvl="5" w:tplc="68A85E16">
      <w:numFmt w:val="decimal"/>
      <w:lvlText w:val=""/>
      <w:lvlJc w:val="left"/>
    </w:lvl>
    <w:lvl w:ilvl="6" w:tplc="CD3CF69A">
      <w:numFmt w:val="decimal"/>
      <w:lvlText w:val=""/>
      <w:lvlJc w:val="left"/>
    </w:lvl>
    <w:lvl w:ilvl="7" w:tplc="33E89888">
      <w:numFmt w:val="decimal"/>
      <w:lvlText w:val=""/>
      <w:lvlJc w:val="left"/>
    </w:lvl>
    <w:lvl w:ilvl="8" w:tplc="351845CA">
      <w:numFmt w:val="decimal"/>
      <w:lvlText w:val=""/>
      <w:lvlJc w:val="left"/>
    </w:lvl>
  </w:abstractNum>
  <w:num w:numId="1" w16cid:durableId="583102099">
    <w:abstractNumId w:val="0"/>
    <w:lvlOverride w:ilvl="0">
      <w:startOverride w:val="1"/>
    </w:lvlOverride>
  </w:num>
  <w:num w:numId="2" w16cid:durableId="574517106">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014A9"/>
    <w:rsid w:val="001C14BB"/>
    <w:rsid w:val="00353880"/>
    <w:rsid w:val="00423007"/>
    <w:rsid w:val="009014A9"/>
  </w:rsids>
  <m:mathPr>
    <m:mathFont m:val="Cambria Math"/>
    <m:brkBin m:val="before"/>
    <m:brkBinSub m:val="--"/>
    <m:smallFrac m:val="0"/>
    <m:dispDef/>
    <m:lMargin m:val="0"/>
    <m:rMargin m:val="0"/>
    <m:defJc m:val="centerGroup"/>
    <m:wrapIndent m:val="1440"/>
    <m:intLim m:val="subSup"/>
    <m:naryLim m:val="undOvr"/>
  </m:mathPr>
  <w:themeFontLang w:val="en-US" w:bidi="he-IL"/>
  <w:clrSchemeMapping w:bg1="light1" w:t1="dark1" w:bg2="light2" w:t2="dark2" w:accent1="accent1" w:accent2="accent2" w:accent3="accent3" w:accent4="accent4" w:accent5="accent5" w:accent6="accent6" w:hyperlink="hyperlink" w:followedHyperlink="followedHyperlink"/>
  <w:decimalSymbol w:val="."/>
  <w:listSeparator w:val=","/>
  <w14:docId w14:val="546AE0E6"/>
  <w15:docId w15:val="{6BF5FE7F-156F-3E40-A048-C1C9CA5EA73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US" w:eastAsia="en-US" w:bidi="he-I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60" w:after="120"/>
      <w:outlineLvl w:val="0"/>
    </w:pPr>
    <w:rPr>
      <w:b/>
      <w:bCs/>
      <w:sz w:val="32"/>
      <w:szCs w:val="32"/>
    </w:rPr>
  </w:style>
  <w:style w:type="paragraph" w:styleId="Heading2">
    <w:name w:val="heading 2"/>
    <w:uiPriority w:val="9"/>
    <w:unhideWhenUsed/>
    <w:qFormat/>
    <w:pPr>
      <w:spacing w:before="240" w:after="80"/>
      <w:outlineLvl w:val="1"/>
    </w:pPr>
    <w:rPr>
      <w:b/>
      <w:bCs/>
      <w:sz w:val="26"/>
      <w:szCs w:val="26"/>
    </w:rPr>
  </w:style>
  <w:style w:type="paragraph" w:styleId="Heading3">
    <w:name w:val="heading 3"/>
    <w:uiPriority w:val="9"/>
    <w:semiHidden/>
    <w:unhideWhenUsed/>
    <w:qFormat/>
    <w:pPr>
      <w:spacing w:before="180" w:after="60"/>
      <w:outlineLvl w:val="2"/>
    </w:pPr>
    <w:rPr>
      <w:b/>
      <w:bCs/>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5</TotalTime>
  <Pages>18</Pages>
  <Words>5034</Words>
  <Characters>33613</Characters>
  <Application>Microsoft Office Word</Application>
  <DocSecurity>0</DocSecurity>
  <Lines>738</Lines>
  <Paragraphs>253</Paragraphs>
  <ScaleCrop>false</ScaleCrop>
  <HeadingPairs>
    <vt:vector size="2" baseType="variant">
      <vt:variant>
        <vt:lpstr>Title</vt:lpstr>
      </vt:variant>
      <vt:variant>
        <vt:i4>1</vt:i4>
      </vt:variant>
    </vt:vector>
  </HeadingPairs>
  <TitlesOfParts>
    <vt:vector size="1" baseType="lpstr">
      <vt:lpstr>Identity Governance &amp; Administration — Security Architecture</vt:lpstr>
    </vt:vector>
  </TitlesOfParts>
  <Manager/>
  <Company/>
  <LinksUpToDate>false</LinksUpToDate>
  <CharactersWithSpaces>38494</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Identity Governance &amp; Administration — Security Architecture</dc:title>
  <dc:subject>Security Architecture</dc:subject>
  <dc:creator>Eran Shpigelman</dc:creator>
  <cp:keywords/>
  <dc:description/>
  <cp:lastModifiedBy>Eran Shpigelman</cp:lastModifiedBy>
  <cp:revision>2</cp:revision>
  <dcterms:created xsi:type="dcterms:W3CDTF">2026-03-04T21:23:00Z</dcterms:created>
  <dcterms:modified xsi:type="dcterms:W3CDTF">2026-03-04T21:36:00Z</dcterms:modified>
  <cp:category/>
</cp:coreProperties>
</file>